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97746" w14:textId="212A7A42" w:rsidR="00DB2030" w:rsidRPr="00263F8D" w:rsidRDefault="002B4085" w:rsidP="00A84AD4">
      <w:pPr>
        <w:spacing w:after="0" w:line="240" w:lineRule="auto"/>
        <w:jc w:val="center"/>
        <w:rPr>
          <w:rFonts w:eastAsia="Times New Roman" w:cstheme="minorHAnsi"/>
          <w:b/>
          <w:sz w:val="44"/>
          <w:szCs w:val="44"/>
          <w:lang w:val="fr-CA" w:eastAsia="en-CA"/>
        </w:rPr>
      </w:pPr>
      <w:r w:rsidRPr="00263F8D">
        <w:rPr>
          <w:rFonts w:cstheme="minorHAnsi"/>
          <w:b/>
          <w:sz w:val="44"/>
          <w:szCs w:val="44"/>
          <w:lang w:val="fr-CA"/>
        </w:rPr>
        <w:t>Conseil d’évaluation des juges de paix</w:t>
      </w:r>
    </w:p>
    <w:p w14:paraId="60D70E76" w14:textId="77777777" w:rsidR="00DB2030" w:rsidRPr="00263F8D" w:rsidRDefault="00DB2030" w:rsidP="00A84AD4">
      <w:pPr>
        <w:spacing w:after="0" w:line="240" w:lineRule="auto"/>
        <w:jc w:val="center"/>
        <w:rPr>
          <w:rFonts w:eastAsia="Times New Roman" w:cstheme="minorHAnsi"/>
          <w:b/>
          <w:sz w:val="44"/>
          <w:szCs w:val="44"/>
          <w:lang w:val="fr-CA" w:eastAsia="en-CA"/>
        </w:rPr>
      </w:pPr>
    </w:p>
    <w:p w14:paraId="32417C4A" w14:textId="4B225138" w:rsidR="00DB2030" w:rsidRPr="00263F8D" w:rsidRDefault="00DB2030" w:rsidP="00A84AD4">
      <w:pPr>
        <w:spacing w:after="0" w:line="240" w:lineRule="auto"/>
        <w:jc w:val="center"/>
        <w:rPr>
          <w:rFonts w:ascii="Times New Roman" w:eastAsia="Times New Roman" w:hAnsi="Times New Roman" w:cs="Times New Roman"/>
          <w:szCs w:val="24"/>
          <w:lang w:val="fr-CA" w:eastAsia="en-CA"/>
        </w:rPr>
      </w:pPr>
    </w:p>
    <w:p w14:paraId="18E91512" w14:textId="60890457" w:rsidR="006F43EA" w:rsidRPr="00D175B4" w:rsidRDefault="006F43EA" w:rsidP="00A84AD4">
      <w:pPr>
        <w:spacing w:after="0" w:line="240" w:lineRule="auto"/>
        <w:jc w:val="center"/>
        <w:rPr>
          <w:rFonts w:eastAsia="Times New Roman" w:cstheme="minorHAnsi"/>
          <w:b/>
          <w:sz w:val="32"/>
          <w:szCs w:val="32"/>
          <w:lang w:val="fr-CA" w:eastAsia="en-CA"/>
        </w:rPr>
      </w:pPr>
      <w:r w:rsidRPr="00263F8D">
        <w:rPr>
          <w:rFonts w:eastAsia="Times New Roman" w:cstheme="minorHAnsi"/>
          <w:b/>
          <w:sz w:val="44"/>
          <w:szCs w:val="44"/>
          <w:lang w:val="fr-CA" w:eastAsia="en-CA"/>
        </w:rPr>
        <w:br w:type="textWrapping" w:clear="all"/>
      </w:r>
      <w:r w:rsidR="002B4085" w:rsidRPr="00D175B4">
        <w:rPr>
          <w:rFonts w:eastAsia="Times New Roman" w:cstheme="minorHAnsi"/>
          <w:b/>
          <w:sz w:val="32"/>
          <w:szCs w:val="32"/>
          <w:lang w:val="fr-CA" w:eastAsia="en-CA"/>
        </w:rPr>
        <w:t xml:space="preserve">DANS L’AFFAIRE D’UNE AUDIENCE EN VERTU DE L'ARTICLE 11.1 DE LA </w:t>
      </w:r>
      <w:r w:rsidR="002B4085" w:rsidRPr="00D175B4">
        <w:rPr>
          <w:rFonts w:eastAsia="Times New Roman" w:cstheme="minorHAnsi"/>
          <w:b/>
          <w:i/>
          <w:sz w:val="32"/>
          <w:szCs w:val="32"/>
          <w:lang w:val="fr-CA" w:eastAsia="en-CA"/>
        </w:rPr>
        <w:t>LOI SUR LES JUGES DE PAIX</w:t>
      </w:r>
      <w:r w:rsidR="002B4085" w:rsidRPr="00D175B4">
        <w:rPr>
          <w:rFonts w:eastAsia="Times New Roman" w:cstheme="minorHAnsi"/>
          <w:b/>
          <w:sz w:val="32"/>
          <w:szCs w:val="32"/>
          <w:lang w:val="fr-CA" w:eastAsia="en-CA"/>
        </w:rPr>
        <w:t>, L.R.O. 1990, ch. J.4, DANS SA VERSION MODIFIÉE,</w:t>
      </w:r>
    </w:p>
    <w:p w14:paraId="40DA0105" w14:textId="77777777" w:rsidR="006123A9" w:rsidRPr="00263F8D" w:rsidRDefault="006123A9" w:rsidP="006F43EA">
      <w:pPr>
        <w:spacing w:after="0" w:line="240" w:lineRule="auto"/>
        <w:jc w:val="center"/>
        <w:rPr>
          <w:rFonts w:eastAsia="Times New Roman" w:cstheme="minorHAnsi"/>
          <w:sz w:val="32"/>
          <w:szCs w:val="32"/>
          <w:lang w:val="fr-CA" w:eastAsia="en-CA"/>
        </w:rPr>
      </w:pPr>
    </w:p>
    <w:p w14:paraId="695A0F24" w14:textId="77777777" w:rsidR="002B4085" w:rsidRPr="00263F8D" w:rsidRDefault="002B4085" w:rsidP="002B4085">
      <w:pPr>
        <w:spacing w:before="600" w:after="0" w:line="240" w:lineRule="auto"/>
        <w:jc w:val="center"/>
        <w:rPr>
          <w:rFonts w:eastAsia="Times New Roman" w:cstheme="minorHAnsi"/>
          <w:b/>
          <w:sz w:val="28"/>
          <w:szCs w:val="28"/>
          <w:lang w:val="fr-CA" w:eastAsia="en-CA"/>
        </w:rPr>
      </w:pPr>
      <w:r w:rsidRPr="00263F8D">
        <w:rPr>
          <w:rFonts w:eastAsia="Times New Roman" w:cstheme="minorHAnsi"/>
          <w:b/>
          <w:sz w:val="28"/>
          <w:szCs w:val="28"/>
          <w:lang w:val="fr-CA" w:eastAsia="en-CA"/>
        </w:rPr>
        <w:t>En ce qui concerne</w:t>
      </w:r>
      <w:bookmarkStart w:id="0" w:name="_GoBack"/>
      <w:bookmarkEnd w:id="0"/>
      <w:r w:rsidRPr="00263F8D">
        <w:rPr>
          <w:rFonts w:eastAsia="Times New Roman" w:cstheme="minorHAnsi"/>
          <w:b/>
          <w:sz w:val="28"/>
          <w:szCs w:val="28"/>
          <w:lang w:val="fr-CA" w:eastAsia="en-CA"/>
        </w:rPr>
        <w:t xml:space="preserve"> une plainte au sujet de la conduite de la </w:t>
      </w:r>
    </w:p>
    <w:p w14:paraId="122CEBC4" w14:textId="3F03CFD0" w:rsidR="006F43EA" w:rsidRPr="00263F8D" w:rsidRDefault="002B4085" w:rsidP="002B4085">
      <w:pPr>
        <w:spacing w:after="840" w:line="240" w:lineRule="auto"/>
        <w:jc w:val="center"/>
        <w:rPr>
          <w:rFonts w:eastAsia="Times New Roman" w:cstheme="minorHAnsi"/>
          <w:b/>
          <w:sz w:val="32"/>
          <w:szCs w:val="32"/>
          <w:lang w:val="fr-CA" w:eastAsia="en-CA"/>
        </w:rPr>
      </w:pPr>
      <w:proofErr w:type="gramStart"/>
      <w:r w:rsidRPr="00263F8D">
        <w:rPr>
          <w:rFonts w:eastAsia="Times New Roman" w:cstheme="minorHAnsi"/>
          <w:b/>
          <w:sz w:val="28"/>
          <w:szCs w:val="28"/>
          <w:lang w:val="fr-CA" w:eastAsia="en-CA"/>
        </w:rPr>
        <w:t>juge</w:t>
      </w:r>
      <w:proofErr w:type="gramEnd"/>
      <w:r w:rsidRPr="00263F8D">
        <w:rPr>
          <w:rFonts w:eastAsia="Times New Roman" w:cstheme="minorHAnsi"/>
          <w:b/>
          <w:sz w:val="28"/>
          <w:szCs w:val="28"/>
          <w:lang w:val="fr-CA" w:eastAsia="en-CA"/>
        </w:rPr>
        <w:t xml:space="preserve"> de paix Claire Winchester</w:t>
      </w:r>
    </w:p>
    <w:p w14:paraId="605D6E75" w14:textId="5EDB8DA7" w:rsidR="005F158E" w:rsidRPr="00263F8D" w:rsidRDefault="002B4085" w:rsidP="005F158E">
      <w:pPr>
        <w:spacing w:before="240" w:after="240" w:line="240" w:lineRule="auto"/>
        <w:ind w:right="-448" w:hanging="357"/>
        <w:rPr>
          <w:rFonts w:eastAsia="Times New Roman" w:cstheme="minorHAnsi"/>
          <w:szCs w:val="24"/>
          <w:lang w:val="fr-CA" w:eastAsia="en-CA"/>
        </w:rPr>
      </w:pPr>
      <w:r w:rsidRPr="00263F8D">
        <w:rPr>
          <w:rFonts w:eastAsia="Times New Roman" w:cstheme="minorHAnsi"/>
          <w:b/>
          <w:sz w:val="26"/>
          <w:szCs w:val="26"/>
          <w:lang w:val="fr-CA" w:eastAsia="en-CA"/>
        </w:rPr>
        <w:t xml:space="preserve">Requête devant </w:t>
      </w:r>
      <w:r w:rsidR="006F43EA" w:rsidRPr="00263F8D">
        <w:rPr>
          <w:rFonts w:eastAsia="Times New Roman" w:cstheme="minorHAnsi"/>
          <w:sz w:val="26"/>
          <w:szCs w:val="26"/>
          <w:lang w:val="fr-CA" w:eastAsia="en-CA"/>
        </w:rPr>
        <w:t>:</w:t>
      </w:r>
      <w:r w:rsidR="006F43EA" w:rsidRPr="00263F8D">
        <w:rPr>
          <w:rFonts w:eastAsia="Times New Roman" w:cstheme="minorHAnsi"/>
          <w:sz w:val="26"/>
          <w:szCs w:val="26"/>
          <w:lang w:val="fr-CA" w:eastAsia="en-CA"/>
        </w:rPr>
        <w:tab/>
      </w:r>
      <w:r w:rsidR="005F158E" w:rsidRPr="00263F8D">
        <w:rPr>
          <w:rFonts w:eastAsia="Times New Roman" w:cstheme="minorHAnsi"/>
          <w:sz w:val="26"/>
          <w:szCs w:val="26"/>
          <w:lang w:val="fr-CA" w:eastAsia="en-CA"/>
        </w:rPr>
        <w:tab/>
      </w:r>
      <w:r w:rsidRPr="00263F8D">
        <w:rPr>
          <w:rFonts w:cstheme="minorHAnsi"/>
          <w:szCs w:val="24"/>
          <w:lang w:val="fr-CA"/>
        </w:rPr>
        <w:t xml:space="preserve">L’honorable juge </w:t>
      </w:r>
      <w:r w:rsidR="00A84AD4" w:rsidRPr="00263F8D">
        <w:rPr>
          <w:rFonts w:eastAsia="Times New Roman" w:cstheme="minorHAnsi"/>
          <w:szCs w:val="24"/>
          <w:lang w:val="fr-CA" w:eastAsia="en-CA"/>
        </w:rPr>
        <w:t>Martin Lambert</w:t>
      </w:r>
      <w:r w:rsidR="005F158E" w:rsidRPr="00263F8D">
        <w:rPr>
          <w:rFonts w:eastAsia="Times New Roman" w:cstheme="minorHAnsi"/>
          <w:szCs w:val="24"/>
          <w:lang w:val="fr-CA" w:eastAsia="en-CA"/>
        </w:rPr>
        <w:t xml:space="preserve">, </w:t>
      </w:r>
      <w:r w:rsidRPr="00263F8D">
        <w:rPr>
          <w:rFonts w:eastAsia="Times New Roman" w:cstheme="minorHAnsi"/>
          <w:szCs w:val="24"/>
          <w:lang w:val="fr-CA" w:eastAsia="en-CA"/>
        </w:rPr>
        <w:t>président</w:t>
      </w:r>
    </w:p>
    <w:p w14:paraId="7B635771" w14:textId="7C6CC184" w:rsidR="005F158E" w:rsidRPr="00263F8D" w:rsidRDefault="002B4085" w:rsidP="009809CD">
      <w:pPr>
        <w:spacing w:before="240" w:after="240" w:line="240" w:lineRule="auto"/>
        <w:ind w:left="2160" w:right="-448" w:firstLine="720"/>
        <w:rPr>
          <w:rFonts w:eastAsia="Times New Roman" w:cstheme="minorHAnsi"/>
          <w:szCs w:val="24"/>
          <w:lang w:val="fr-CA" w:eastAsia="en-CA"/>
        </w:rPr>
      </w:pPr>
      <w:r w:rsidRPr="00263F8D">
        <w:rPr>
          <w:rFonts w:cstheme="minorHAnsi"/>
          <w:szCs w:val="24"/>
          <w:lang w:val="fr-CA"/>
        </w:rPr>
        <w:t>La juge de paix Kristine Diaz, membre juge de paix</w:t>
      </w:r>
    </w:p>
    <w:p w14:paraId="2D1E7B32" w14:textId="22936340" w:rsidR="005F158E" w:rsidRPr="00263F8D" w:rsidRDefault="002B4085" w:rsidP="009809CD">
      <w:pPr>
        <w:spacing w:before="240" w:after="240" w:line="240" w:lineRule="auto"/>
        <w:ind w:left="2160" w:right="-448" w:firstLine="720"/>
        <w:rPr>
          <w:rFonts w:eastAsia="Times New Roman" w:cstheme="minorHAnsi"/>
          <w:szCs w:val="24"/>
          <w:lang w:val="fr-CA" w:eastAsia="en-CA"/>
        </w:rPr>
      </w:pPr>
      <w:r w:rsidRPr="00263F8D">
        <w:rPr>
          <w:rFonts w:eastAsia="Times New Roman" w:cstheme="minorHAnsi"/>
          <w:szCs w:val="24"/>
          <w:lang w:val="fr-CA" w:eastAsia="en-CA"/>
        </w:rPr>
        <w:t xml:space="preserve">Le </w:t>
      </w:r>
      <w:r w:rsidR="009809CD" w:rsidRPr="00263F8D">
        <w:rPr>
          <w:rFonts w:eastAsia="Times New Roman" w:cstheme="minorHAnsi"/>
          <w:szCs w:val="24"/>
          <w:lang w:val="fr-CA" w:eastAsia="en-CA"/>
        </w:rPr>
        <w:t>Dr Michael Phillips</w:t>
      </w:r>
      <w:r w:rsidR="005F158E" w:rsidRPr="00263F8D">
        <w:rPr>
          <w:rFonts w:eastAsia="Times New Roman" w:cstheme="minorHAnsi"/>
          <w:szCs w:val="24"/>
          <w:lang w:val="fr-CA" w:eastAsia="en-CA"/>
        </w:rPr>
        <w:t xml:space="preserve">, </w:t>
      </w:r>
      <w:r w:rsidRPr="00263F8D">
        <w:rPr>
          <w:rFonts w:ascii="Arial" w:hAnsi="Arial" w:cs="Arial"/>
          <w:szCs w:val="24"/>
          <w:lang w:val="fr-CA"/>
        </w:rPr>
        <w:t>membre du public</w:t>
      </w:r>
    </w:p>
    <w:p w14:paraId="0568EB6F" w14:textId="77777777" w:rsidR="006F43EA" w:rsidRPr="00263F8D" w:rsidRDefault="006F43EA" w:rsidP="005F158E">
      <w:pPr>
        <w:spacing w:before="240" w:after="240" w:line="240" w:lineRule="auto"/>
        <w:ind w:left="1440" w:hanging="1440"/>
        <w:rPr>
          <w:rFonts w:eastAsia="Times New Roman" w:cstheme="minorHAnsi"/>
          <w:sz w:val="26"/>
          <w:szCs w:val="26"/>
          <w:lang w:val="fr-CA" w:eastAsia="en-CA"/>
        </w:rPr>
      </w:pPr>
    </w:p>
    <w:p w14:paraId="7DD2DE09" w14:textId="6B4C3925" w:rsidR="002B4085" w:rsidRPr="00263F8D" w:rsidRDefault="00A84AD4" w:rsidP="002B4085">
      <w:pPr>
        <w:spacing w:after="0" w:line="240" w:lineRule="auto"/>
        <w:jc w:val="center"/>
        <w:rPr>
          <w:rFonts w:eastAsia="Times New Roman" w:cstheme="minorHAnsi"/>
          <w:sz w:val="28"/>
          <w:szCs w:val="28"/>
          <w:lang w:val="fr-CA" w:eastAsia="en-CA"/>
        </w:rPr>
      </w:pPr>
      <w:r w:rsidRPr="00263F8D">
        <w:rPr>
          <w:rFonts w:eastAsia="Times New Roman" w:cstheme="minorHAnsi"/>
          <w:b/>
          <w:sz w:val="28"/>
          <w:szCs w:val="28"/>
          <w:lang w:val="fr-CA" w:eastAsia="en-CA"/>
        </w:rPr>
        <w:t>D</w:t>
      </w:r>
      <w:r w:rsidR="002B4085" w:rsidRPr="00263F8D">
        <w:rPr>
          <w:rFonts w:eastAsia="Times New Roman" w:cstheme="minorHAnsi"/>
          <w:b/>
          <w:sz w:val="28"/>
          <w:szCs w:val="28"/>
          <w:lang w:val="fr-CA" w:eastAsia="en-CA"/>
        </w:rPr>
        <w:t>É</w:t>
      </w:r>
      <w:r w:rsidRPr="00263F8D">
        <w:rPr>
          <w:rFonts w:eastAsia="Times New Roman" w:cstheme="minorHAnsi"/>
          <w:b/>
          <w:sz w:val="28"/>
          <w:szCs w:val="28"/>
          <w:lang w:val="fr-CA" w:eastAsia="en-CA"/>
        </w:rPr>
        <w:t xml:space="preserve">CISION </w:t>
      </w:r>
      <w:r w:rsidR="002B4085" w:rsidRPr="00263F8D">
        <w:rPr>
          <w:rFonts w:eastAsia="Times New Roman" w:cstheme="minorHAnsi"/>
          <w:b/>
          <w:sz w:val="28"/>
          <w:szCs w:val="28"/>
          <w:lang w:val="fr-CA" w:eastAsia="en-CA"/>
        </w:rPr>
        <w:t xml:space="preserve">SUR LA REQUÊTE VISANT À DÉTERMINER LE LIEU DE L’AUDIENCE </w:t>
      </w:r>
    </w:p>
    <w:p w14:paraId="251CB2A1" w14:textId="790B7D0C" w:rsidR="006123A9" w:rsidRPr="00263F8D" w:rsidRDefault="006123A9" w:rsidP="006123A9">
      <w:pPr>
        <w:spacing w:after="0" w:line="240" w:lineRule="auto"/>
        <w:jc w:val="center"/>
        <w:rPr>
          <w:rFonts w:eastAsia="Times New Roman" w:cstheme="minorHAnsi"/>
          <w:sz w:val="28"/>
          <w:szCs w:val="28"/>
          <w:lang w:val="fr-CA" w:eastAsia="en-CA"/>
        </w:rPr>
      </w:pPr>
    </w:p>
    <w:p w14:paraId="3E4ED5B9" w14:textId="3D96424F" w:rsidR="006F43EA" w:rsidRPr="00263F8D" w:rsidRDefault="002B4085" w:rsidP="00A84AD4">
      <w:pPr>
        <w:spacing w:before="1440" w:after="0" w:line="240" w:lineRule="auto"/>
        <w:rPr>
          <w:rFonts w:eastAsia="Times New Roman" w:cstheme="minorHAnsi"/>
          <w:sz w:val="28"/>
          <w:szCs w:val="28"/>
          <w:lang w:val="fr-CA" w:eastAsia="en-CA"/>
        </w:rPr>
      </w:pPr>
      <w:r w:rsidRPr="00263F8D">
        <w:rPr>
          <w:rFonts w:eastAsia="Times New Roman" w:cstheme="minorHAnsi"/>
          <w:b/>
          <w:szCs w:val="24"/>
          <w:lang w:val="fr-CA" w:eastAsia="en-CA"/>
        </w:rPr>
        <w:t>Avocats :</w:t>
      </w:r>
    </w:p>
    <w:p w14:paraId="7169FF5C" w14:textId="77777777" w:rsidR="006123A9" w:rsidRPr="00263F8D" w:rsidRDefault="006123A9" w:rsidP="006123A9">
      <w:pPr>
        <w:spacing w:after="0" w:line="240" w:lineRule="auto"/>
        <w:ind w:left="2160" w:hanging="2160"/>
        <w:rPr>
          <w:rFonts w:eastAsia="Times New Roman" w:cstheme="minorHAnsi"/>
          <w:sz w:val="26"/>
          <w:szCs w:val="26"/>
          <w:lang w:val="fr-CA" w:eastAsia="en-CA"/>
        </w:rPr>
      </w:pPr>
    </w:p>
    <w:p w14:paraId="2D1A7879" w14:textId="77777777" w:rsidR="002B4085" w:rsidRPr="00263F8D" w:rsidRDefault="002B4085" w:rsidP="002B4085">
      <w:pPr>
        <w:spacing w:after="0" w:line="240" w:lineRule="auto"/>
        <w:ind w:left="2160" w:hanging="2160"/>
        <w:rPr>
          <w:rFonts w:eastAsia="Times New Roman" w:cstheme="minorHAnsi"/>
          <w:szCs w:val="24"/>
          <w:lang w:val="fr-CA" w:eastAsia="en-CA"/>
        </w:rPr>
      </w:pPr>
      <w:r w:rsidRPr="00263F8D">
        <w:rPr>
          <w:rFonts w:eastAsia="Times New Roman" w:cstheme="minorHAnsi"/>
          <w:szCs w:val="24"/>
          <w:lang w:val="fr-CA" w:eastAsia="en-CA"/>
        </w:rPr>
        <w:t>Me Matthew Gourlay</w:t>
      </w:r>
    </w:p>
    <w:p w14:paraId="6B8C8602" w14:textId="77777777" w:rsidR="002B4085" w:rsidRPr="00263F8D" w:rsidRDefault="002B4085" w:rsidP="002B4085">
      <w:pPr>
        <w:spacing w:after="0" w:line="240" w:lineRule="auto"/>
        <w:ind w:left="2160" w:hanging="2160"/>
        <w:rPr>
          <w:rFonts w:eastAsia="Times New Roman" w:cstheme="minorHAnsi"/>
          <w:szCs w:val="24"/>
          <w:lang w:val="fr-CA" w:eastAsia="en-CA"/>
        </w:rPr>
      </w:pPr>
      <w:r w:rsidRPr="00263F8D">
        <w:rPr>
          <w:rFonts w:cstheme="minorHAnsi"/>
          <w:szCs w:val="24"/>
          <w:lang w:val="fr-CA"/>
        </w:rPr>
        <w:t>Avocat chargé de présenter le dossier</w:t>
      </w:r>
    </w:p>
    <w:p w14:paraId="08FDE295" w14:textId="77777777" w:rsidR="002B4085" w:rsidRPr="00263F8D" w:rsidRDefault="002B4085" w:rsidP="002B4085">
      <w:pPr>
        <w:spacing w:after="0" w:line="240" w:lineRule="auto"/>
        <w:ind w:left="2160" w:hanging="2160"/>
        <w:rPr>
          <w:rFonts w:eastAsia="Times New Roman" w:cstheme="minorHAnsi"/>
          <w:szCs w:val="24"/>
          <w:lang w:val="fr-CA" w:eastAsia="en-CA"/>
        </w:rPr>
      </w:pPr>
    </w:p>
    <w:p w14:paraId="0EEA182B" w14:textId="77777777" w:rsidR="002B4085" w:rsidRPr="00263F8D" w:rsidRDefault="002B4085" w:rsidP="002B4085">
      <w:pPr>
        <w:spacing w:after="0" w:line="240" w:lineRule="auto"/>
        <w:ind w:left="2160" w:hanging="2160"/>
        <w:rPr>
          <w:rFonts w:eastAsia="Times New Roman" w:cstheme="minorHAnsi"/>
          <w:szCs w:val="24"/>
          <w:lang w:val="fr-CA" w:eastAsia="en-CA"/>
        </w:rPr>
      </w:pPr>
      <w:r w:rsidRPr="00263F8D">
        <w:rPr>
          <w:rFonts w:eastAsia="Times New Roman" w:cstheme="minorHAnsi"/>
          <w:szCs w:val="24"/>
          <w:lang w:val="fr-CA" w:eastAsia="en-CA"/>
        </w:rPr>
        <w:t>Me Donald Bayne</w:t>
      </w:r>
    </w:p>
    <w:p w14:paraId="45ADD947" w14:textId="77777777" w:rsidR="002B4085" w:rsidRPr="00263F8D" w:rsidRDefault="002B4085" w:rsidP="002B4085">
      <w:pPr>
        <w:spacing w:after="0" w:line="240" w:lineRule="auto"/>
        <w:ind w:left="2160" w:hanging="2160"/>
        <w:rPr>
          <w:rFonts w:eastAsia="Times New Roman" w:cstheme="minorHAnsi"/>
          <w:szCs w:val="24"/>
          <w:lang w:val="fr-CA" w:eastAsia="en-CA"/>
        </w:rPr>
      </w:pPr>
      <w:r w:rsidRPr="00263F8D">
        <w:rPr>
          <w:rFonts w:eastAsia="Times New Roman" w:cstheme="minorHAnsi"/>
          <w:szCs w:val="24"/>
          <w:lang w:val="fr-CA" w:eastAsia="en-CA"/>
        </w:rPr>
        <w:t xml:space="preserve">Me Michelle </w:t>
      </w:r>
      <w:proofErr w:type="spellStart"/>
      <w:r w:rsidRPr="00263F8D">
        <w:rPr>
          <w:rFonts w:eastAsia="Times New Roman" w:cstheme="minorHAnsi"/>
          <w:szCs w:val="24"/>
          <w:lang w:val="fr-CA" w:eastAsia="en-CA"/>
        </w:rPr>
        <w:t>O’Doherty</w:t>
      </w:r>
      <w:proofErr w:type="spellEnd"/>
    </w:p>
    <w:p w14:paraId="4F92ABFB" w14:textId="3975405A" w:rsidR="006F43EA" w:rsidRPr="00263F8D" w:rsidRDefault="002B4085" w:rsidP="002B4085">
      <w:pPr>
        <w:spacing w:after="0" w:line="240" w:lineRule="auto"/>
        <w:ind w:left="2160" w:hanging="2160"/>
        <w:rPr>
          <w:rFonts w:eastAsia="Times New Roman" w:cstheme="minorHAnsi"/>
          <w:sz w:val="26"/>
          <w:szCs w:val="26"/>
          <w:lang w:val="fr-CA" w:eastAsia="en-CA"/>
        </w:rPr>
      </w:pPr>
      <w:r w:rsidRPr="00263F8D">
        <w:rPr>
          <w:rFonts w:eastAsia="Times New Roman" w:cstheme="minorHAnsi"/>
          <w:szCs w:val="24"/>
          <w:lang w:val="fr-CA" w:eastAsia="en-CA"/>
        </w:rPr>
        <w:t>Avocats de la juge de paix</w:t>
      </w:r>
    </w:p>
    <w:p w14:paraId="219BBE9E" w14:textId="77777777" w:rsidR="005F158E" w:rsidRPr="00263F8D" w:rsidRDefault="00A84AD4" w:rsidP="00F6220A">
      <w:pPr>
        <w:spacing w:before="240" w:after="240" w:line="360" w:lineRule="auto"/>
        <w:jc w:val="both"/>
        <w:rPr>
          <w:rFonts w:eastAsia="Times New Roman" w:cstheme="minorHAnsi"/>
          <w:szCs w:val="24"/>
          <w:lang w:val="fr-CA" w:eastAsia="en-CA"/>
        </w:rPr>
      </w:pPr>
      <w:r w:rsidRPr="00263F8D">
        <w:rPr>
          <w:rFonts w:eastAsia="Times New Roman" w:cstheme="minorHAnsi"/>
          <w:szCs w:val="24"/>
          <w:lang w:val="fr-CA" w:eastAsia="en-CA"/>
        </w:rPr>
        <w:t xml:space="preserve"> </w:t>
      </w:r>
    </w:p>
    <w:p w14:paraId="38706D82" w14:textId="3DDCDC0F" w:rsidR="003867AA" w:rsidRPr="00263F8D" w:rsidRDefault="004C51CD" w:rsidP="007054EB">
      <w:pPr>
        <w:pStyle w:val="ListParagraph"/>
        <w:numPr>
          <w:ilvl w:val="0"/>
          <w:numId w:val="5"/>
        </w:numPr>
        <w:spacing w:after="0"/>
        <w:ind w:left="851" w:hanging="851"/>
        <w:jc w:val="both"/>
        <w:rPr>
          <w:lang w:val="fr-CA"/>
        </w:rPr>
      </w:pPr>
      <w:r w:rsidRPr="00263F8D">
        <w:rPr>
          <w:lang w:val="fr-CA"/>
        </w:rPr>
        <w:lastRenderedPageBreak/>
        <w:t xml:space="preserve">Le 8 mars </w:t>
      </w:r>
      <w:r w:rsidR="003867AA" w:rsidRPr="00263F8D">
        <w:rPr>
          <w:lang w:val="fr-CA"/>
        </w:rPr>
        <w:t xml:space="preserve">2019, </w:t>
      </w:r>
      <w:r w:rsidRPr="00263F8D">
        <w:rPr>
          <w:lang w:val="fr-CA"/>
        </w:rPr>
        <w:t xml:space="preserve">la juge de paix a déposé une requête devant le comité d’audition, </w:t>
      </w:r>
      <w:r w:rsidR="007054EB" w:rsidRPr="007054EB">
        <w:rPr>
          <w:lang w:val="fr-CA"/>
        </w:rPr>
        <w:t xml:space="preserve">tel qu'il </w:t>
      </w:r>
      <w:r w:rsidR="007054EB">
        <w:rPr>
          <w:lang w:val="fr-CA"/>
        </w:rPr>
        <w:t>était</w:t>
      </w:r>
      <w:r w:rsidR="007054EB" w:rsidRPr="007054EB">
        <w:rPr>
          <w:lang w:val="fr-CA"/>
        </w:rPr>
        <w:t xml:space="preserve"> alors constitué</w:t>
      </w:r>
      <w:r w:rsidR="00491ACC" w:rsidRPr="00263F8D">
        <w:rPr>
          <w:rStyle w:val="FootnoteReference"/>
          <w:lang w:val="fr-CA"/>
        </w:rPr>
        <w:footnoteReference w:id="1"/>
      </w:r>
      <w:r w:rsidRPr="00263F8D">
        <w:rPr>
          <w:lang w:val="fr-CA"/>
        </w:rPr>
        <w:t>, en vue d’obtenir une ordonnance enjoignant que l’audience ait lieu dans la région de l’Est de l’Ontario, à savoir à</w:t>
      </w:r>
      <w:r w:rsidR="003867AA" w:rsidRPr="00263F8D">
        <w:rPr>
          <w:lang w:val="fr-CA"/>
        </w:rPr>
        <w:t xml:space="preserve"> Cornwall </w:t>
      </w:r>
      <w:r w:rsidRPr="00263F8D">
        <w:rPr>
          <w:lang w:val="fr-CA"/>
        </w:rPr>
        <w:t>ou</w:t>
      </w:r>
      <w:r w:rsidR="009D1450" w:rsidRPr="00263F8D">
        <w:rPr>
          <w:lang w:val="fr-CA"/>
        </w:rPr>
        <w:t xml:space="preserve"> </w:t>
      </w:r>
      <w:r w:rsidR="003867AA" w:rsidRPr="00263F8D">
        <w:rPr>
          <w:lang w:val="fr-CA"/>
        </w:rPr>
        <w:t xml:space="preserve">Ottawa. </w:t>
      </w:r>
    </w:p>
    <w:p w14:paraId="4C25D736" w14:textId="4A99C8BF" w:rsidR="003867AA" w:rsidRPr="00263F8D" w:rsidRDefault="003867AA" w:rsidP="00F128BE">
      <w:pPr>
        <w:spacing w:after="0"/>
        <w:ind w:left="851" w:hanging="851"/>
        <w:jc w:val="both"/>
        <w:rPr>
          <w:lang w:val="fr-CA"/>
        </w:rPr>
      </w:pPr>
      <w:r w:rsidRPr="00263F8D">
        <w:rPr>
          <w:lang w:val="fr-CA"/>
        </w:rPr>
        <w:t xml:space="preserve">           </w:t>
      </w:r>
    </w:p>
    <w:p w14:paraId="4B67F8A1" w14:textId="36712EDB" w:rsidR="00F6220A" w:rsidRPr="00263F8D" w:rsidRDefault="00263F8D" w:rsidP="00F128BE">
      <w:pPr>
        <w:pStyle w:val="ListParagraph"/>
        <w:numPr>
          <w:ilvl w:val="0"/>
          <w:numId w:val="5"/>
        </w:numPr>
        <w:spacing w:after="0"/>
        <w:ind w:left="851" w:hanging="851"/>
        <w:jc w:val="both"/>
        <w:rPr>
          <w:lang w:val="fr-CA"/>
        </w:rPr>
      </w:pPr>
      <w:r w:rsidRPr="00263F8D">
        <w:rPr>
          <w:lang w:val="fr-CA"/>
        </w:rPr>
        <w:t xml:space="preserve">Le 15 mai </w:t>
      </w:r>
      <w:r w:rsidR="00F6220A" w:rsidRPr="00263F8D">
        <w:rPr>
          <w:lang w:val="fr-CA"/>
        </w:rPr>
        <w:t>2019</w:t>
      </w:r>
      <w:r w:rsidR="003867AA" w:rsidRPr="00263F8D">
        <w:rPr>
          <w:lang w:val="fr-CA"/>
        </w:rPr>
        <w:t xml:space="preserve">, </w:t>
      </w:r>
      <w:r w:rsidRPr="00263F8D">
        <w:rPr>
          <w:lang w:val="fr-CA"/>
        </w:rPr>
        <w:t>le comité d’audition a rendu une décision orale rejetant la requête et ordonnan</w:t>
      </w:r>
      <w:r w:rsidR="006606A4">
        <w:rPr>
          <w:lang w:val="fr-CA"/>
        </w:rPr>
        <w:t>t</w:t>
      </w:r>
      <w:r w:rsidRPr="00263F8D">
        <w:rPr>
          <w:lang w:val="fr-CA"/>
        </w:rPr>
        <w:t xml:space="preserve"> que l’audience ait lieu à </w:t>
      </w:r>
      <w:r w:rsidR="000E16BA" w:rsidRPr="00263F8D">
        <w:rPr>
          <w:lang w:val="fr-CA"/>
        </w:rPr>
        <w:t>Toronto</w:t>
      </w:r>
      <w:r w:rsidR="00F6220A" w:rsidRPr="00263F8D">
        <w:rPr>
          <w:lang w:val="fr-CA"/>
        </w:rPr>
        <w:t xml:space="preserve">, </w:t>
      </w:r>
      <w:r w:rsidRPr="00263F8D">
        <w:rPr>
          <w:lang w:val="fr-CA"/>
        </w:rPr>
        <w:t>en précisant que ses motifs écrits suivront. Voici les motifs du comité d’audition</w:t>
      </w:r>
      <w:r w:rsidR="00DF49FB" w:rsidRPr="00263F8D">
        <w:rPr>
          <w:lang w:val="fr-CA"/>
        </w:rPr>
        <w:t xml:space="preserve">. </w:t>
      </w:r>
    </w:p>
    <w:p w14:paraId="3624897E" w14:textId="77777777" w:rsidR="00FF037A" w:rsidRPr="00263F8D" w:rsidRDefault="00FF037A" w:rsidP="00F128BE">
      <w:pPr>
        <w:pStyle w:val="ListParagraph"/>
        <w:ind w:left="851" w:hanging="851"/>
        <w:rPr>
          <w:lang w:val="fr-CA"/>
        </w:rPr>
      </w:pPr>
    </w:p>
    <w:p w14:paraId="0B9A365F" w14:textId="1F2A4AD1" w:rsidR="00FF037A" w:rsidRPr="00263F8D" w:rsidRDefault="00263F8D" w:rsidP="00F128BE">
      <w:pPr>
        <w:spacing w:after="0"/>
        <w:ind w:left="851" w:hanging="851"/>
        <w:jc w:val="both"/>
        <w:rPr>
          <w:u w:val="single"/>
          <w:lang w:val="fr-CA"/>
        </w:rPr>
      </w:pPr>
      <w:r w:rsidRPr="00263F8D">
        <w:rPr>
          <w:u w:val="single"/>
          <w:lang w:val="fr-CA"/>
        </w:rPr>
        <w:t xml:space="preserve">Autorité légale et procédurale </w:t>
      </w:r>
    </w:p>
    <w:p w14:paraId="437BDB27" w14:textId="77777777" w:rsidR="000E16BA" w:rsidRPr="00263F8D" w:rsidRDefault="000E16BA" w:rsidP="00F128BE">
      <w:pPr>
        <w:pStyle w:val="ListParagraph"/>
        <w:ind w:left="851" w:hanging="851"/>
        <w:rPr>
          <w:lang w:val="fr-CA"/>
        </w:rPr>
      </w:pPr>
    </w:p>
    <w:p w14:paraId="41F5352E" w14:textId="09F40CFB" w:rsidR="000E16BA" w:rsidRPr="00263F8D" w:rsidRDefault="00263F8D" w:rsidP="006606A4">
      <w:pPr>
        <w:pStyle w:val="ListParagraph"/>
        <w:numPr>
          <w:ilvl w:val="0"/>
          <w:numId w:val="5"/>
        </w:numPr>
        <w:spacing w:after="0"/>
        <w:ind w:left="851" w:hanging="851"/>
        <w:jc w:val="both"/>
        <w:rPr>
          <w:lang w:val="fr-CA"/>
        </w:rPr>
      </w:pPr>
      <w:r w:rsidRPr="00263F8D">
        <w:rPr>
          <w:lang w:val="fr-CA"/>
        </w:rPr>
        <w:t xml:space="preserve">Le paragraphe </w:t>
      </w:r>
      <w:r w:rsidR="000E16BA" w:rsidRPr="00263F8D">
        <w:rPr>
          <w:lang w:val="fr-CA"/>
        </w:rPr>
        <w:t>11.1</w:t>
      </w:r>
      <w:r w:rsidRPr="00263F8D">
        <w:rPr>
          <w:lang w:val="fr-CA"/>
        </w:rPr>
        <w:t> </w:t>
      </w:r>
      <w:r w:rsidR="000E16BA" w:rsidRPr="00263F8D">
        <w:rPr>
          <w:lang w:val="fr-CA"/>
        </w:rPr>
        <w:t xml:space="preserve">(4) </w:t>
      </w:r>
      <w:r w:rsidR="0028190E">
        <w:rPr>
          <w:lang w:val="fr-CA"/>
        </w:rPr>
        <w:t xml:space="preserve">de la </w:t>
      </w:r>
      <w:r w:rsidR="0028190E" w:rsidRPr="0028190E">
        <w:rPr>
          <w:i/>
          <w:lang w:val="fr-CA"/>
        </w:rPr>
        <w:t>Loi sur les juges de paix</w:t>
      </w:r>
      <w:r w:rsidR="0028190E">
        <w:rPr>
          <w:lang w:val="fr-CA"/>
        </w:rPr>
        <w:t>, L.R.O.</w:t>
      </w:r>
      <w:r w:rsidR="000E16BA" w:rsidRPr="00263F8D">
        <w:rPr>
          <w:lang w:val="fr-CA"/>
        </w:rPr>
        <w:t xml:space="preserve"> 1990, c</w:t>
      </w:r>
      <w:r w:rsidR="0028190E">
        <w:rPr>
          <w:lang w:val="fr-CA"/>
        </w:rPr>
        <w:t>hap</w:t>
      </w:r>
      <w:r w:rsidR="000E16BA" w:rsidRPr="00263F8D">
        <w:rPr>
          <w:lang w:val="fr-CA"/>
        </w:rPr>
        <w:t>.</w:t>
      </w:r>
      <w:r w:rsidR="0028190E">
        <w:rPr>
          <w:lang w:val="fr-CA"/>
        </w:rPr>
        <w:t> </w:t>
      </w:r>
      <w:r w:rsidR="000E16BA" w:rsidRPr="00263F8D">
        <w:rPr>
          <w:lang w:val="fr-CA"/>
        </w:rPr>
        <w:t>J.4 (</w:t>
      </w:r>
      <w:r w:rsidR="0028190E">
        <w:rPr>
          <w:lang w:val="fr-CA"/>
        </w:rPr>
        <w:t>la « LJP »</w:t>
      </w:r>
      <w:r w:rsidR="000E16BA" w:rsidRPr="00263F8D">
        <w:rPr>
          <w:lang w:val="fr-CA"/>
        </w:rPr>
        <w:t>)</w:t>
      </w:r>
      <w:r w:rsidR="00617759" w:rsidRPr="00263F8D">
        <w:rPr>
          <w:lang w:val="fr-CA"/>
        </w:rPr>
        <w:t xml:space="preserve"> </w:t>
      </w:r>
      <w:r w:rsidR="0028190E">
        <w:rPr>
          <w:lang w:val="fr-CA"/>
        </w:rPr>
        <w:t xml:space="preserve">prévoit que les dispositions de la </w:t>
      </w:r>
      <w:r w:rsidR="0028190E" w:rsidRPr="0028190E">
        <w:rPr>
          <w:i/>
          <w:lang w:val="fr-CA"/>
        </w:rPr>
        <w:t>Loi sur l’exercice des compétences légales</w:t>
      </w:r>
      <w:r w:rsidR="000E16BA" w:rsidRPr="00263F8D">
        <w:rPr>
          <w:lang w:val="fr-CA"/>
        </w:rPr>
        <w:t xml:space="preserve">, </w:t>
      </w:r>
      <w:r w:rsidR="0028190E">
        <w:rPr>
          <w:lang w:val="fr-CA"/>
        </w:rPr>
        <w:t>L.R.O.</w:t>
      </w:r>
      <w:r w:rsidR="0028190E" w:rsidRPr="00263F8D">
        <w:rPr>
          <w:lang w:val="fr-CA"/>
        </w:rPr>
        <w:t xml:space="preserve"> 1990, c</w:t>
      </w:r>
      <w:r w:rsidR="0028190E">
        <w:rPr>
          <w:lang w:val="fr-CA"/>
        </w:rPr>
        <w:t>hap</w:t>
      </w:r>
      <w:r w:rsidR="0028190E" w:rsidRPr="00263F8D">
        <w:rPr>
          <w:lang w:val="fr-CA"/>
        </w:rPr>
        <w:t>.</w:t>
      </w:r>
      <w:r w:rsidR="0028190E">
        <w:rPr>
          <w:lang w:val="fr-CA"/>
        </w:rPr>
        <w:t> </w:t>
      </w:r>
      <w:r w:rsidR="000E16BA" w:rsidRPr="00263F8D">
        <w:rPr>
          <w:lang w:val="fr-CA"/>
        </w:rPr>
        <w:t>22 (</w:t>
      </w:r>
      <w:r w:rsidR="0028190E">
        <w:rPr>
          <w:lang w:val="fr-CA"/>
        </w:rPr>
        <w:t>la « LECL »</w:t>
      </w:r>
      <w:r w:rsidR="000E16BA" w:rsidRPr="00263F8D">
        <w:rPr>
          <w:lang w:val="fr-CA"/>
        </w:rPr>
        <w:t>)</w:t>
      </w:r>
      <w:r w:rsidR="006606A4">
        <w:rPr>
          <w:lang w:val="fr-CA"/>
        </w:rPr>
        <w:t>,</w:t>
      </w:r>
      <w:r w:rsidR="000E16BA" w:rsidRPr="00263F8D">
        <w:rPr>
          <w:lang w:val="fr-CA"/>
        </w:rPr>
        <w:t xml:space="preserve"> </w:t>
      </w:r>
      <w:r w:rsidR="0028190E">
        <w:rPr>
          <w:lang w:val="fr-CA"/>
        </w:rPr>
        <w:t xml:space="preserve">s’appliquent aux audiences du Conseil d’évaluation des juges de paix (le « CEJP » ou le « Conseil »). La LJP prévoit aussi que les règles de procédure établies par le CEJP (le « Document relatif aux procédures ») s’appliquent aux audiences </w:t>
      </w:r>
      <w:r w:rsidR="000E16BA" w:rsidRPr="00263F8D">
        <w:rPr>
          <w:lang w:val="fr-CA"/>
        </w:rPr>
        <w:t>(</w:t>
      </w:r>
      <w:r w:rsidR="0028190E">
        <w:rPr>
          <w:lang w:val="fr-CA"/>
        </w:rPr>
        <w:t>par.</w:t>
      </w:r>
      <w:r w:rsidR="006606A4">
        <w:rPr>
          <w:lang w:val="fr-CA"/>
        </w:rPr>
        <w:t> </w:t>
      </w:r>
      <w:r w:rsidR="000E16BA" w:rsidRPr="00263F8D">
        <w:rPr>
          <w:lang w:val="fr-CA"/>
        </w:rPr>
        <w:t>11.1(5)).</w:t>
      </w:r>
    </w:p>
    <w:p w14:paraId="1560D84B" w14:textId="0A141280" w:rsidR="00491ACC" w:rsidRPr="00263F8D" w:rsidRDefault="00491ACC" w:rsidP="00F128BE">
      <w:pPr>
        <w:ind w:left="851" w:hanging="851"/>
        <w:rPr>
          <w:lang w:val="fr-CA"/>
        </w:rPr>
      </w:pPr>
    </w:p>
    <w:p w14:paraId="3F1666BB" w14:textId="051327EF" w:rsidR="00491ACC" w:rsidRPr="00263F8D" w:rsidRDefault="00491ACC" w:rsidP="00F128BE">
      <w:pPr>
        <w:ind w:left="851" w:hanging="851"/>
        <w:rPr>
          <w:u w:val="single"/>
          <w:lang w:val="fr-CA"/>
        </w:rPr>
      </w:pPr>
      <w:r w:rsidRPr="00263F8D">
        <w:rPr>
          <w:u w:val="single"/>
          <w:lang w:val="fr-CA"/>
        </w:rPr>
        <w:t xml:space="preserve">Position </w:t>
      </w:r>
      <w:r w:rsidR="0028190E">
        <w:rPr>
          <w:u w:val="single"/>
          <w:lang w:val="fr-CA"/>
        </w:rPr>
        <w:t xml:space="preserve">de la juge de paix </w:t>
      </w:r>
      <w:r w:rsidRPr="00263F8D">
        <w:rPr>
          <w:u w:val="single"/>
          <w:lang w:val="fr-CA"/>
        </w:rPr>
        <w:t>Winchester</w:t>
      </w:r>
    </w:p>
    <w:p w14:paraId="61FBDD3B" w14:textId="627860FF" w:rsidR="00C064F0" w:rsidRPr="00263F8D" w:rsidRDefault="0028190E" w:rsidP="0080223F">
      <w:pPr>
        <w:pStyle w:val="ListParagraph"/>
        <w:numPr>
          <w:ilvl w:val="0"/>
          <w:numId w:val="5"/>
        </w:numPr>
        <w:spacing w:after="0"/>
        <w:ind w:left="851" w:hanging="851"/>
        <w:jc w:val="both"/>
        <w:rPr>
          <w:lang w:val="fr-CA"/>
        </w:rPr>
      </w:pPr>
      <w:r>
        <w:rPr>
          <w:lang w:val="fr-CA"/>
        </w:rPr>
        <w:t>La juge de paix soutient que la LJP, la LECL</w:t>
      </w:r>
      <w:r w:rsidRPr="00263F8D">
        <w:rPr>
          <w:lang w:val="fr-CA"/>
        </w:rPr>
        <w:t xml:space="preserve"> </w:t>
      </w:r>
      <w:r>
        <w:rPr>
          <w:lang w:val="fr-CA"/>
        </w:rPr>
        <w:t>et le Document relatif aux procédures n’exigent pas que les audiences du CEJP aient lieu à un endroit particulier. L’article 2 de la LECL exige plutôt que les audiences du CEJP se déroulent de façon à garantir « </w:t>
      </w:r>
      <w:r w:rsidRPr="0028190E">
        <w:rPr>
          <w:lang w:val="fr-CA"/>
        </w:rPr>
        <w:t>le règlement équitable de chaque instance sur le fond, de la façon la plus expéditive et la plus efficace par rapport au coût</w:t>
      </w:r>
      <w:r>
        <w:rPr>
          <w:lang w:val="fr-CA"/>
        </w:rPr>
        <w:t> »</w:t>
      </w:r>
      <w:r w:rsidR="00C064F0" w:rsidRPr="00263F8D">
        <w:rPr>
          <w:lang w:val="fr-CA"/>
        </w:rPr>
        <w:t>.</w:t>
      </w:r>
    </w:p>
    <w:p w14:paraId="1C78540F" w14:textId="77777777" w:rsidR="00C064F0" w:rsidRPr="00263F8D" w:rsidRDefault="00C064F0" w:rsidP="00F128BE">
      <w:pPr>
        <w:pStyle w:val="ListParagraph"/>
        <w:spacing w:after="0"/>
        <w:ind w:left="851" w:hanging="851"/>
        <w:jc w:val="both"/>
        <w:rPr>
          <w:lang w:val="fr-CA"/>
        </w:rPr>
      </w:pPr>
    </w:p>
    <w:p w14:paraId="16F7F0F6" w14:textId="2012592F" w:rsidR="00491ACC" w:rsidRPr="00263F8D" w:rsidRDefault="0080223F" w:rsidP="00F128BE">
      <w:pPr>
        <w:pStyle w:val="ListParagraph"/>
        <w:numPr>
          <w:ilvl w:val="0"/>
          <w:numId w:val="5"/>
        </w:numPr>
        <w:spacing w:after="0"/>
        <w:ind w:left="851" w:hanging="851"/>
        <w:jc w:val="both"/>
        <w:rPr>
          <w:lang w:val="fr-CA"/>
        </w:rPr>
      </w:pPr>
      <w:r>
        <w:rPr>
          <w:lang w:val="fr-CA"/>
        </w:rPr>
        <w:t>La juge de paix fait valoir que l</w:t>
      </w:r>
      <w:r w:rsidR="007E03D2">
        <w:rPr>
          <w:lang w:val="fr-CA"/>
        </w:rPr>
        <w:t>a</w:t>
      </w:r>
      <w:r>
        <w:rPr>
          <w:lang w:val="fr-CA"/>
        </w:rPr>
        <w:t xml:space="preserve"> greffi</w:t>
      </w:r>
      <w:r w:rsidR="007E03D2">
        <w:rPr>
          <w:lang w:val="fr-CA"/>
        </w:rPr>
        <w:t>ère</w:t>
      </w:r>
      <w:r>
        <w:rPr>
          <w:lang w:val="fr-CA"/>
        </w:rPr>
        <w:t xml:space="preserve"> du CEJ</w:t>
      </w:r>
      <w:r w:rsidR="006606A4">
        <w:rPr>
          <w:lang w:val="fr-CA"/>
        </w:rPr>
        <w:t>P</w:t>
      </w:r>
      <w:r>
        <w:rPr>
          <w:lang w:val="fr-CA"/>
        </w:rPr>
        <w:t xml:space="preserve"> a </w:t>
      </w:r>
      <w:r w:rsidR="006606A4">
        <w:rPr>
          <w:lang w:val="fr-CA"/>
        </w:rPr>
        <w:t xml:space="preserve">donné l’ordre </w:t>
      </w:r>
      <w:r>
        <w:rPr>
          <w:lang w:val="fr-CA"/>
        </w:rPr>
        <w:t xml:space="preserve">que l’audience ait lieu au centre-ville de Toronto sans </w:t>
      </w:r>
      <w:r w:rsidR="002F38C4">
        <w:rPr>
          <w:lang w:val="fr-CA"/>
        </w:rPr>
        <w:t>aucune autorité légale. Elle affirme que le Document relatif aux procédures n’autorise pas l</w:t>
      </w:r>
      <w:r w:rsidR="007E03D2">
        <w:rPr>
          <w:lang w:val="fr-CA"/>
        </w:rPr>
        <w:t>a</w:t>
      </w:r>
      <w:r w:rsidR="002F38C4">
        <w:rPr>
          <w:lang w:val="fr-CA"/>
        </w:rPr>
        <w:t xml:space="preserve"> greffi</w:t>
      </w:r>
      <w:r w:rsidR="007E03D2">
        <w:rPr>
          <w:lang w:val="fr-CA"/>
        </w:rPr>
        <w:t>ère</w:t>
      </w:r>
      <w:r w:rsidR="002F38C4">
        <w:rPr>
          <w:lang w:val="fr-CA"/>
        </w:rPr>
        <w:t xml:space="preserve"> à </w:t>
      </w:r>
      <w:r w:rsidR="006606A4">
        <w:rPr>
          <w:lang w:val="fr-CA"/>
        </w:rPr>
        <w:t>fixer</w:t>
      </w:r>
      <w:r w:rsidR="002F38C4">
        <w:rPr>
          <w:lang w:val="fr-CA"/>
        </w:rPr>
        <w:t xml:space="preserve"> le lieu de l’audience, car cette question relève de la compétence du comité d’audition qui doit prendre sa décision au cas par cas, que le lieu de l’audience n’est pas fixé à l’avance et qu’il n’existe pas de règle par défaut imposant </w:t>
      </w:r>
      <w:r w:rsidR="006606A4">
        <w:rPr>
          <w:lang w:val="fr-CA"/>
        </w:rPr>
        <w:t xml:space="preserve">la tenue </w:t>
      </w:r>
      <w:r w:rsidR="002F38C4">
        <w:rPr>
          <w:lang w:val="fr-CA"/>
        </w:rPr>
        <w:t xml:space="preserve">des audiences du CEJP à </w:t>
      </w:r>
      <w:r w:rsidR="00D7603A" w:rsidRPr="00263F8D">
        <w:rPr>
          <w:lang w:val="fr-CA"/>
        </w:rPr>
        <w:t>Toronto</w:t>
      </w:r>
      <w:r w:rsidR="00491ACC" w:rsidRPr="00263F8D">
        <w:rPr>
          <w:lang w:val="fr-CA"/>
        </w:rPr>
        <w:t>.</w:t>
      </w:r>
    </w:p>
    <w:p w14:paraId="20FD4CA8" w14:textId="77777777" w:rsidR="005D01E9" w:rsidRPr="00263F8D" w:rsidRDefault="005D01E9" w:rsidP="00F128BE">
      <w:pPr>
        <w:pStyle w:val="ListParagraph"/>
        <w:ind w:left="851" w:hanging="851"/>
        <w:rPr>
          <w:lang w:val="fr-CA"/>
        </w:rPr>
      </w:pPr>
    </w:p>
    <w:p w14:paraId="7B69DA1E" w14:textId="7AF435A4" w:rsidR="005D01E9" w:rsidRPr="00263F8D" w:rsidRDefault="002F38C4" w:rsidP="00F128BE">
      <w:pPr>
        <w:pStyle w:val="ListParagraph"/>
        <w:numPr>
          <w:ilvl w:val="0"/>
          <w:numId w:val="5"/>
        </w:numPr>
        <w:spacing w:after="0"/>
        <w:ind w:left="851" w:hanging="851"/>
        <w:jc w:val="both"/>
        <w:rPr>
          <w:lang w:val="fr-CA"/>
        </w:rPr>
      </w:pPr>
      <w:r>
        <w:rPr>
          <w:lang w:val="fr-CA"/>
        </w:rPr>
        <w:t xml:space="preserve">La juge de paix plaide qu’en l’absence de circonstances exceptionnelles, les </w:t>
      </w:r>
      <w:r w:rsidR="002D08C5">
        <w:rPr>
          <w:lang w:val="fr-CA"/>
        </w:rPr>
        <w:t xml:space="preserve">critères </w:t>
      </w:r>
      <w:r>
        <w:rPr>
          <w:lang w:val="fr-CA"/>
        </w:rPr>
        <w:t xml:space="preserve">du </w:t>
      </w:r>
      <w:r w:rsidRPr="0028190E">
        <w:rPr>
          <w:lang w:val="fr-CA"/>
        </w:rPr>
        <w:t>règlement équitable</w:t>
      </w:r>
      <w:r>
        <w:rPr>
          <w:lang w:val="fr-CA"/>
        </w:rPr>
        <w:t xml:space="preserve">, du règlement </w:t>
      </w:r>
      <w:r w:rsidRPr="0028190E">
        <w:rPr>
          <w:lang w:val="fr-CA"/>
        </w:rPr>
        <w:t>expéditi</w:t>
      </w:r>
      <w:r>
        <w:rPr>
          <w:lang w:val="fr-CA"/>
        </w:rPr>
        <w:t>f</w:t>
      </w:r>
      <w:r w:rsidRPr="0028190E">
        <w:rPr>
          <w:lang w:val="fr-CA"/>
        </w:rPr>
        <w:t xml:space="preserve"> et </w:t>
      </w:r>
      <w:r>
        <w:rPr>
          <w:lang w:val="fr-CA"/>
        </w:rPr>
        <w:t>du règlement e</w:t>
      </w:r>
      <w:r w:rsidRPr="0028190E">
        <w:rPr>
          <w:lang w:val="fr-CA"/>
        </w:rPr>
        <w:t xml:space="preserve">fficace </w:t>
      </w:r>
      <w:r w:rsidRPr="0028190E">
        <w:rPr>
          <w:lang w:val="fr-CA"/>
        </w:rPr>
        <w:lastRenderedPageBreak/>
        <w:t>par rapport au coût</w:t>
      </w:r>
      <w:r>
        <w:rPr>
          <w:lang w:val="fr-CA"/>
        </w:rPr>
        <w:t>, sont</w:t>
      </w:r>
      <w:r w:rsidR="002D08C5">
        <w:rPr>
          <w:lang w:val="fr-CA"/>
        </w:rPr>
        <w:t xml:space="preserve"> le</w:t>
      </w:r>
      <w:r w:rsidR="006606A4">
        <w:rPr>
          <w:lang w:val="fr-CA"/>
        </w:rPr>
        <w:t>s</w:t>
      </w:r>
      <w:r w:rsidR="002D08C5">
        <w:rPr>
          <w:lang w:val="fr-CA"/>
        </w:rPr>
        <w:t xml:space="preserve"> mieux respectés si l’instance se déroule à l’endroit </w:t>
      </w:r>
      <w:r w:rsidR="002D08C5" w:rsidRPr="002D08C5">
        <w:rPr>
          <w:rFonts w:cstheme="minorHAnsi"/>
          <w:lang w:val="fr-CA"/>
        </w:rPr>
        <w:t>où les faits se sont produits</w:t>
      </w:r>
      <w:r w:rsidR="005D01E9" w:rsidRPr="00263F8D">
        <w:rPr>
          <w:lang w:val="fr-CA"/>
        </w:rPr>
        <w:t xml:space="preserve">, </w:t>
      </w:r>
      <w:r w:rsidR="002D08C5">
        <w:rPr>
          <w:lang w:val="fr-CA"/>
        </w:rPr>
        <w:t xml:space="preserve">où les témoins se trouvent et où la personne qui fait l’objet de l’audience, la juge de paix </w:t>
      </w:r>
      <w:r w:rsidR="005D01E9" w:rsidRPr="00263F8D">
        <w:rPr>
          <w:lang w:val="fr-CA"/>
        </w:rPr>
        <w:t>Winchester</w:t>
      </w:r>
      <w:r w:rsidR="0023225F" w:rsidRPr="00263F8D">
        <w:rPr>
          <w:lang w:val="fr-CA"/>
        </w:rPr>
        <w:t>,</w:t>
      </w:r>
      <w:r w:rsidR="005D01E9" w:rsidRPr="00263F8D">
        <w:rPr>
          <w:lang w:val="fr-CA"/>
        </w:rPr>
        <w:t xml:space="preserve"> </w:t>
      </w:r>
      <w:r w:rsidR="002D08C5">
        <w:rPr>
          <w:lang w:val="fr-CA"/>
        </w:rPr>
        <w:t xml:space="preserve">réside ou travaille. Elle affirme que dans les circonstances de cette requête, ces critères appuient la conclusion que l’audience devrait être tenue dans la région de l’Est, précisément à </w:t>
      </w:r>
      <w:r w:rsidR="00D7603A" w:rsidRPr="00263F8D">
        <w:rPr>
          <w:lang w:val="fr-CA"/>
        </w:rPr>
        <w:t>Ottawa.</w:t>
      </w:r>
    </w:p>
    <w:p w14:paraId="1E88A01D" w14:textId="77777777" w:rsidR="00D7603A" w:rsidRPr="00263F8D" w:rsidRDefault="00D7603A" w:rsidP="00F128BE">
      <w:pPr>
        <w:pStyle w:val="ListParagraph"/>
        <w:ind w:left="851" w:hanging="851"/>
        <w:rPr>
          <w:lang w:val="fr-CA"/>
        </w:rPr>
      </w:pPr>
    </w:p>
    <w:p w14:paraId="1CA4C93F" w14:textId="34CAB4C3" w:rsidR="003867AA" w:rsidRPr="00263F8D" w:rsidRDefault="00144AD7" w:rsidP="00F128BE">
      <w:pPr>
        <w:pStyle w:val="ListParagraph"/>
        <w:numPr>
          <w:ilvl w:val="0"/>
          <w:numId w:val="5"/>
        </w:numPr>
        <w:spacing w:after="0"/>
        <w:ind w:left="851" w:hanging="851"/>
        <w:jc w:val="both"/>
        <w:rPr>
          <w:lang w:val="fr-CA"/>
        </w:rPr>
      </w:pPr>
      <w:r>
        <w:rPr>
          <w:lang w:val="fr-CA"/>
        </w:rPr>
        <w:t>Elle soutient que la tenue de l’audience dans la région de l’Est serait moins coûteu</w:t>
      </w:r>
      <w:r w:rsidR="008C5785">
        <w:rPr>
          <w:lang w:val="fr-CA"/>
        </w:rPr>
        <w:t>se</w:t>
      </w:r>
      <w:r>
        <w:rPr>
          <w:lang w:val="fr-CA"/>
        </w:rPr>
        <w:t>, moins stressant</w:t>
      </w:r>
      <w:r w:rsidR="008C5785">
        <w:rPr>
          <w:lang w:val="fr-CA"/>
        </w:rPr>
        <w:t>e</w:t>
      </w:r>
      <w:r>
        <w:rPr>
          <w:lang w:val="fr-CA"/>
        </w:rPr>
        <w:t xml:space="preserve"> et plus pratique pour elle qu’une audience à Toronto. La juge de paix indique aussi qu’elle a l’intention d’appeler 13 témoins qui devront tous se déplacer à Toronto de la région de l’Est</w:t>
      </w:r>
      <w:r w:rsidR="003867AA" w:rsidRPr="00263F8D">
        <w:rPr>
          <w:lang w:val="fr-CA"/>
        </w:rPr>
        <w:t>.</w:t>
      </w:r>
    </w:p>
    <w:p w14:paraId="1EE228FE" w14:textId="77777777" w:rsidR="005B5D99" w:rsidRPr="00263F8D" w:rsidRDefault="005B5D99" w:rsidP="00F128BE">
      <w:pPr>
        <w:pStyle w:val="ListParagraph"/>
        <w:ind w:left="851" w:hanging="851"/>
        <w:rPr>
          <w:lang w:val="fr-CA"/>
        </w:rPr>
      </w:pPr>
    </w:p>
    <w:p w14:paraId="37ED1F9A" w14:textId="684033E8" w:rsidR="005B5D99" w:rsidRPr="00263F8D" w:rsidRDefault="00144AD7" w:rsidP="00F128BE">
      <w:pPr>
        <w:pStyle w:val="ListParagraph"/>
        <w:numPr>
          <w:ilvl w:val="0"/>
          <w:numId w:val="5"/>
        </w:numPr>
        <w:spacing w:after="0"/>
        <w:ind w:left="851" w:hanging="851"/>
        <w:jc w:val="both"/>
        <w:rPr>
          <w:lang w:val="fr-CA"/>
        </w:rPr>
      </w:pPr>
      <w:r>
        <w:rPr>
          <w:lang w:val="fr-CA"/>
        </w:rPr>
        <w:t>La possibilité d’utiliser la technologie, dont le système de vidéoconférence</w:t>
      </w:r>
      <w:r w:rsidR="006606A4">
        <w:rPr>
          <w:lang w:val="fr-CA"/>
        </w:rPr>
        <w:t>s</w:t>
      </w:r>
      <w:r>
        <w:rPr>
          <w:lang w:val="fr-CA"/>
        </w:rPr>
        <w:t>, pour obtenir des témoignages à distance, a été reconnue par la juge de paix. Cependant, l’avocat de la juge de paix a déclaré qu’il préférerait faire venir tous les témoins</w:t>
      </w:r>
      <w:r w:rsidR="006606A4">
        <w:rPr>
          <w:lang w:val="fr-CA"/>
        </w:rPr>
        <w:t xml:space="preserve"> sur place</w:t>
      </w:r>
      <w:r>
        <w:rPr>
          <w:lang w:val="fr-CA"/>
        </w:rPr>
        <w:t xml:space="preserve">, autres que les témoins de moralité. Il a mentionné au comité d’audition qu’il avait éprouvé des difficultés techniques avec </w:t>
      </w:r>
      <w:r w:rsidR="00D55866">
        <w:rPr>
          <w:lang w:val="fr-CA"/>
        </w:rPr>
        <w:t>les</w:t>
      </w:r>
      <w:r>
        <w:rPr>
          <w:lang w:val="fr-CA"/>
        </w:rPr>
        <w:t xml:space="preserve"> vidéoconférences lors d’un procès criminel à </w:t>
      </w:r>
      <w:r w:rsidR="005B5D99" w:rsidRPr="00263F8D">
        <w:rPr>
          <w:lang w:val="fr-CA"/>
        </w:rPr>
        <w:t>Ottawa.</w:t>
      </w:r>
    </w:p>
    <w:p w14:paraId="24B5D01E" w14:textId="1C149216" w:rsidR="005B5D99" w:rsidRPr="00263F8D" w:rsidRDefault="005B5D99" w:rsidP="00F128BE">
      <w:pPr>
        <w:pStyle w:val="ListParagraph"/>
        <w:ind w:left="851" w:hanging="851"/>
        <w:rPr>
          <w:lang w:val="fr-CA"/>
        </w:rPr>
      </w:pPr>
    </w:p>
    <w:p w14:paraId="55F46455" w14:textId="6B519DD6" w:rsidR="00562F05" w:rsidRPr="00263F8D" w:rsidRDefault="00D55866" w:rsidP="00F128BE">
      <w:pPr>
        <w:pStyle w:val="ListParagraph"/>
        <w:numPr>
          <w:ilvl w:val="0"/>
          <w:numId w:val="5"/>
        </w:numPr>
        <w:spacing w:after="0"/>
        <w:ind w:left="851" w:hanging="851"/>
        <w:jc w:val="both"/>
        <w:rPr>
          <w:lang w:val="fr-CA"/>
        </w:rPr>
      </w:pPr>
      <w:r>
        <w:rPr>
          <w:lang w:val="fr-CA"/>
        </w:rPr>
        <w:t xml:space="preserve">La juge de paix a </w:t>
      </w:r>
      <w:r w:rsidR="007E03D2">
        <w:rPr>
          <w:lang w:val="fr-CA"/>
        </w:rPr>
        <w:t>décrit comment divers tribunaux administratifs en Ontario réglaient la question du lieu des audiences. Elle a déclaré que les concepts de droit criminel relatifs au lieu de l’audience s’appliqu</w:t>
      </w:r>
      <w:r w:rsidR="006606A4">
        <w:rPr>
          <w:lang w:val="fr-CA"/>
        </w:rPr>
        <w:t>ai</w:t>
      </w:r>
      <w:r w:rsidR="007E03D2">
        <w:rPr>
          <w:lang w:val="fr-CA"/>
        </w:rPr>
        <w:t xml:space="preserve">ent en l’espèce, car le processus d’audience du CEJP et les procès criminels exigent </w:t>
      </w:r>
      <w:r w:rsidR="006606A4">
        <w:rPr>
          <w:lang w:val="fr-CA"/>
        </w:rPr>
        <w:t>la prise d’</w:t>
      </w:r>
      <w:r w:rsidR="007E03D2">
        <w:rPr>
          <w:lang w:val="fr-CA"/>
        </w:rPr>
        <w:t>une décision dans l’intérêt du public, et affirmé que la plainte elle-même découlait d’un contexte de droit criminel</w:t>
      </w:r>
      <w:r w:rsidR="005B5D99" w:rsidRPr="00263F8D">
        <w:rPr>
          <w:lang w:val="fr-CA"/>
        </w:rPr>
        <w:t xml:space="preserve">. </w:t>
      </w:r>
    </w:p>
    <w:p w14:paraId="1BB9FDAD" w14:textId="77777777" w:rsidR="00562F05" w:rsidRPr="00263F8D" w:rsidRDefault="00562F05" w:rsidP="00F128BE">
      <w:pPr>
        <w:pStyle w:val="ListParagraph"/>
        <w:ind w:left="851" w:hanging="851"/>
        <w:rPr>
          <w:lang w:val="fr-CA"/>
        </w:rPr>
      </w:pPr>
    </w:p>
    <w:p w14:paraId="55602AA7" w14:textId="26329DB6" w:rsidR="00F37F46" w:rsidRPr="00263F8D" w:rsidRDefault="007E03D2" w:rsidP="00F128BE">
      <w:pPr>
        <w:pStyle w:val="ListParagraph"/>
        <w:numPr>
          <w:ilvl w:val="0"/>
          <w:numId w:val="5"/>
        </w:numPr>
        <w:spacing w:after="0"/>
        <w:ind w:left="851" w:hanging="851"/>
        <w:jc w:val="both"/>
        <w:rPr>
          <w:lang w:val="fr-CA"/>
        </w:rPr>
      </w:pPr>
      <w:r>
        <w:rPr>
          <w:lang w:val="fr-CA"/>
        </w:rPr>
        <w:t xml:space="preserve">Elle a également soulevé des préoccupations à l’égard de l’affidavit de </w:t>
      </w:r>
      <w:r w:rsidR="00455FF3" w:rsidRPr="00263F8D">
        <w:rPr>
          <w:lang w:val="fr-CA"/>
        </w:rPr>
        <w:t>Marilyn King,</w:t>
      </w:r>
      <w:r>
        <w:rPr>
          <w:lang w:val="fr-CA"/>
        </w:rPr>
        <w:t xml:space="preserve"> la greffière du CEJP, déposé par l’avocat chargé </w:t>
      </w:r>
      <w:r w:rsidR="00970E57">
        <w:rPr>
          <w:lang w:val="fr-CA"/>
        </w:rPr>
        <w:t>de présenter le dossier</w:t>
      </w:r>
      <w:r>
        <w:rPr>
          <w:lang w:val="fr-CA"/>
        </w:rPr>
        <w:t xml:space="preserve"> dans le cadre de la requête en question. L’affidavit décrit les difficultés sur le plan </w:t>
      </w:r>
      <w:r w:rsidR="00797AE2">
        <w:rPr>
          <w:lang w:val="fr-CA"/>
        </w:rPr>
        <w:t xml:space="preserve">opérationnel et </w:t>
      </w:r>
      <w:r>
        <w:rPr>
          <w:lang w:val="fr-CA"/>
        </w:rPr>
        <w:t>des ressources humaines qu’éprouverait le CEJP si l’audience avait lieu dans la région de l’Est. L’avocat de la juge de paix souligne que le rôle de la greffière est, entre autres, d’aider le comité d’audition et de lui prodiguer des conseils</w:t>
      </w:r>
      <w:r w:rsidR="00562F05" w:rsidRPr="00263F8D">
        <w:rPr>
          <w:lang w:val="fr-CA"/>
        </w:rPr>
        <w:t xml:space="preserve">. </w:t>
      </w:r>
      <w:r w:rsidR="002A29FF">
        <w:rPr>
          <w:lang w:val="fr-CA"/>
        </w:rPr>
        <w:t>Il soutient que l’affidavit de la greffière place le comité d’audition dans une position embarrassante et pourrait susciter une crainte raisonnable de partialité envers la juge de paix à l’égard de sa requête</w:t>
      </w:r>
      <w:r w:rsidR="00562F05" w:rsidRPr="00263F8D">
        <w:rPr>
          <w:lang w:val="fr-CA"/>
        </w:rPr>
        <w:t>.</w:t>
      </w:r>
    </w:p>
    <w:p w14:paraId="1FDFFA54" w14:textId="77777777" w:rsidR="00562F05" w:rsidRPr="00263F8D" w:rsidRDefault="00562F05" w:rsidP="00F128BE">
      <w:pPr>
        <w:pStyle w:val="ListParagraph"/>
        <w:ind w:left="851" w:hanging="851"/>
        <w:rPr>
          <w:lang w:val="fr-CA"/>
        </w:rPr>
      </w:pPr>
    </w:p>
    <w:p w14:paraId="26DC2A8C" w14:textId="2C835812" w:rsidR="00F37F46" w:rsidRPr="00263F8D" w:rsidRDefault="005D01E9" w:rsidP="00F128BE">
      <w:pPr>
        <w:spacing w:after="0"/>
        <w:ind w:left="851" w:hanging="851"/>
        <w:jc w:val="both"/>
        <w:rPr>
          <w:u w:val="single"/>
          <w:lang w:val="fr-CA"/>
        </w:rPr>
      </w:pPr>
      <w:r w:rsidRPr="00263F8D">
        <w:rPr>
          <w:u w:val="single"/>
          <w:lang w:val="fr-CA"/>
        </w:rPr>
        <w:t xml:space="preserve">Position </w:t>
      </w:r>
      <w:r w:rsidR="008774F7" w:rsidRPr="008774F7">
        <w:rPr>
          <w:u w:val="single"/>
          <w:lang w:val="fr-CA"/>
        </w:rPr>
        <w:t xml:space="preserve">de l’avocat </w:t>
      </w:r>
      <w:r w:rsidR="00E77E68" w:rsidRPr="00E77E68">
        <w:rPr>
          <w:u w:val="single"/>
          <w:lang w:val="fr-CA"/>
        </w:rPr>
        <w:t>chargé de présenter le dossier</w:t>
      </w:r>
    </w:p>
    <w:p w14:paraId="206EA004" w14:textId="77777777" w:rsidR="00F37F46" w:rsidRPr="00263F8D" w:rsidRDefault="00F37F46" w:rsidP="00F128BE">
      <w:pPr>
        <w:spacing w:after="0"/>
        <w:ind w:left="851" w:hanging="851"/>
        <w:jc w:val="both"/>
        <w:rPr>
          <w:lang w:val="fr-CA"/>
        </w:rPr>
      </w:pPr>
    </w:p>
    <w:p w14:paraId="4E17CCD1" w14:textId="73B342BA" w:rsidR="00AA25F5" w:rsidRDefault="008774F7" w:rsidP="0023148F">
      <w:pPr>
        <w:pStyle w:val="ListParagraph"/>
        <w:numPr>
          <w:ilvl w:val="0"/>
          <w:numId w:val="5"/>
        </w:numPr>
        <w:spacing w:after="0"/>
        <w:ind w:left="851" w:hanging="851"/>
        <w:jc w:val="both"/>
        <w:rPr>
          <w:lang w:val="fr-CA"/>
        </w:rPr>
      </w:pPr>
      <w:r>
        <w:rPr>
          <w:lang w:val="fr-CA"/>
        </w:rPr>
        <w:t xml:space="preserve">L’avocat </w:t>
      </w:r>
      <w:r w:rsidR="00E77E68">
        <w:rPr>
          <w:lang w:val="fr-CA"/>
        </w:rPr>
        <w:t xml:space="preserve">chargé de présenter le dossier </w:t>
      </w:r>
      <w:r>
        <w:rPr>
          <w:lang w:val="fr-CA"/>
        </w:rPr>
        <w:t xml:space="preserve">accepte que le comité d’audition a compétence pour ordonner que l’audience soit tenue dans un lieu autre que </w:t>
      </w:r>
      <w:r w:rsidR="005B5D99" w:rsidRPr="00263F8D">
        <w:rPr>
          <w:lang w:val="fr-CA"/>
        </w:rPr>
        <w:t>Toronto</w:t>
      </w:r>
      <w:r w:rsidR="006021EF" w:rsidRPr="00263F8D">
        <w:rPr>
          <w:lang w:val="fr-CA"/>
        </w:rPr>
        <w:t xml:space="preserve">. </w:t>
      </w:r>
      <w:r>
        <w:rPr>
          <w:lang w:val="fr-CA"/>
        </w:rPr>
        <w:t xml:space="preserve">Il affirme que cette compétence découle du principe que chaque tribunal </w:t>
      </w:r>
      <w:r w:rsidR="004D4C5D">
        <w:rPr>
          <w:lang w:val="fr-CA"/>
        </w:rPr>
        <w:lastRenderedPageBreak/>
        <w:t xml:space="preserve">administratif </w:t>
      </w:r>
      <w:r>
        <w:rPr>
          <w:lang w:val="fr-CA"/>
        </w:rPr>
        <w:t>est le maître de ses propres procédures et qu’il se fonde sur ses propres règles, ses pratiques et politiques pour déterminer s’il est justifié d’ordonner un changement de lieu</w:t>
      </w:r>
      <w:r w:rsidR="00BC5022" w:rsidRPr="00263F8D">
        <w:rPr>
          <w:lang w:val="fr-CA"/>
        </w:rPr>
        <w:t xml:space="preserve">. </w:t>
      </w:r>
      <w:r>
        <w:rPr>
          <w:lang w:val="fr-CA"/>
        </w:rPr>
        <w:t xml:space="preserve">L’avocat </w:t>
      </w:r>
      <w:r w:rsidR="00E77E68">
        <w:rPr>
          <w:lang w:val="fr-CA"/>
        </w:rPr>
        <w:t xml:space="preserve">chargé de présenter le dossier </w:t>
      </w:r>
      <w:r w:rsidR="0023148F">
        <w:rPr>
          <w:lang w:val="fr-CA"/>
        </w:rPr>
        <w:t xml:space="preserve">renvoie à un principe de droit administratif énoncé par la Cour suprême du Canada, dans l’arrêt </w:t>
      </w:r>
      <w:r w:rsidR="00AA25F5" w:rsidRPr="00263F8D">
        <w:rPr>
          <w:i/>
          <w:lang w:val="fr-CA"/>
        </w:rPr>
        <w:t xml:space="preserve">Knight v. </w:t>
      </w:r>
      <w:proofErr w:type="spellStart"/>
      <w:r w:rsidR="00AA25F5" w:rsidRPr="00263F8D">
        <w:rPr>
          <w:i/>
          <w:lang w:val="fr-CA"/>
        </w:rPr>
        <w:t>Indian</w:t>
      </w:r>
      <w:proofErr w:type="spellEnd"/>
      <w:r w:rsidR="00AA25F5" w:rsidRPr="00263F8D">
        <w:rPr>
          <w:i/>
          <w:lang w:val="fr-CA"/>
        </w:rPr>
        <w:t xml:space="preserve"> Head </w:t>
      </w:r>
      <w:proofErr w:type="spellStart"/>
      <w:r w:rsidR="00AA25F5" w:rsidRPr="00263F8D">
        <w:rPr>
          <w:i/>
          <w:lang w:val="fr-CA"/>
        </w:rPr>
        <w:t>School</w:t>
      </w:r>
      <w:proofErr w:type="spellEnd"/>
      <w:r w:rsidR="00AA25F5" w:rsidRPr="00263F8D">
        <w:rPr>
          <w:i/>
          <w:lang w:val="fr-CA"/>
        </w:rPr>
        <w:t xml:space="preserve"> Division No. 19</w:t>
      </w:r>
      <w:r w:rsidR="00AA25F5" w:rsidRPr="00263F8D">
        <w:rPr>
          <w:lang w:val="fr-CA"/>
        </w:rPr>
        <w:t xml:space="preserve">, [1990] 1 </w:t>
      </w:r>
      <w:r w:rsidR="0023148F">
        <w:rPr>
          <w:lang w:val="fr-CA"/>
        </w:rPr>
        <w:t>RC</w:t>
      </w:r>
      <w:r w:rsidR="00AA25F5" w:rsidRPr="00263F8D">
        <w:rPr>
          <w:lang w:val="fr-CA"/>
        </w:rPr>
        <w:t>S 653, 1990 CanLII 138 (</w:t>
      </w:r>
      <w:r w:rsidR="0023148F">
        <w:rPr>
          <w:lang w:val="fr-CA"/>
        </w:rPr>
        <w:t>CSC</w:t>
      </w:r>
      <w:r w:rsidR="00AA25F5" w:rsidRPr="00263F8D">
        <w:rPr>
          <w:lang w:val="fr-CA"/>
        </w:rPr>
        <w:t>)</w:t>
      </w:r>
      <w:r w:rsidR="0023148F">
        <w:rPr>
          <w:lang w:val="fr-CA"/>
        </w:rPr>
        <w:t> </w:t>
      </w:r>
      <w:r w:rsidR="00AA25F5" w:rsidRPr="00263F8D">
        <w:rPr>
          <w:lang w:val="fr-CA"/>
        </w:rPr>
        <w:t xml:space="preserve">: </w:t>
      </w:r>
      <w:r w:rsidR="0023148F">
        <w:rPr>
          <w:lang w:val="fr-CA"/>
        </w:rPr>
        <w:t>« </w:t>
      </w:r>
      <w:r w:rsidR="0023148F" w:rsidRPr="0023148F">
        <w:rPr>
          <w:lang w:val="fr-CA"/>
        </w:rPr>
        <w:t>Il ne faut pas oublier que tout organisme administratif est maître de sa propre procédure et n'a pas à se modeler sur les tribunaux judiciaires</w:t>
      </w:r>
      <w:r w:rsidR="0023148F">
        <w:rPr>
          <w:lang w:val="fr-CA"/>
        </w:rPr>
        <w:t> »</w:t>
      </w:r>
      <w:r w:rsidR="00AA25F5" w:rsidRPr="00263F8D">
        <w:rPr>
          <w:lang w:val="fr-CA"/>
        </w:rPr>
        <w:t>.</w:t>
      </w:r>
    </w:p>
    <w:p w14:paraId="2F20E577" w14:textId="77777777" w:rsidR="004D4C5D" w:rsidRPr="004D4C5D" w:rsidRDefault="004D4C5D" w:rsidP="004D4C5D">
      <w:pPr>
        <w:spacing w:after="0"/>
        <w:jc w:val="both"/>
        <w:rPr>
          <w:lang w:val="fr-CA"/>
        </w:rPr>
      </w:pPr>
    </w:p>
    <w:p w14:paraId="493A7FB1" w14:textId="4D4950D9" w:rsidR="00AA25F5" w:rsidRPr="00263F8D" w:rsidRDefault="004D4C5D" w:rsidP="00F128BE">
      <w:pPr>
        <w:pStyle w:val="ListParagraph"/>
        <w:numPr>
          <w:ilvl w:val="0"/>
          <w:numId w:val="5"/>
        </w:numPr>
        <w:spacing w:after="0"/>
        <w:ind w:left="851" w:hanging="851"/>
        <w:jc w:val="both"/>
        <w:rPr>
          <w:lang w:val="fr-CA"/>
        </w:rPr>
      </w:pPr>
      <w:r>
        <w:rPr>
          <w:lang w:val="fr-CA"/>
        </w:rPr>
        <w:t xml:space="preserve">L’avocat </w:t>
      </w:r>
      <w:r w:rsidR="00E77E68">
        <w:rPr>
          <w:lang w:val="fr-CA"/>
        </w:rPr>
        <w:t xml:space="preserve">chargé de présenter le dossier </w:t>
      </w:r>
      <w:r w:rsidR="00E71A3B">
        <w:rPr>
          <w:lang w:val="fr-CA"/>
        </w:rPr>
        <w:t xml:space="preserve">fait observer que le CEJP a l’habitude, depuis longtemps, de tenir ses audiences à Toronto. Il soutient que cette pratique n’a rien d’irrégulier et que la LECL n’empêche pas un tribunal administratif « d’adopter la règle ou la pratique de tenir ses audiences à son </w:t>
      </w:r>
      <w:r w:rsidR="00797AE2">
        <w:rPr>
          <w:lang w:val="fr-CA"/>
        </w:rPr>
        <w:t>quartier général</w:t>
      </w:r>
      <w:r w:rsidR="00E71A3B">
        <w:rPr>
          <w:lang w:val="fr-CA"/>
        </w:rPr>
        <w:t> »</w:t>
      </w:r>
      <w:r w:rsidR="00562F05" w:rsidRPr="00263F8D">
        <w:rPr>
          <w:lang w:val="fr-CA"/>
        </w:rPr>
        <w:t>.</w:t>
      </w:r>
      <w:r w:rsidR="00BC5022" w:rsidRPr="00263F8D">
        <w:rPr>
          <w:lang w:val="fr-CA"/>
        </w:rPr>
        <w:t xml:space="preserve"> </w:t>
      </w:r>
      <w:r w:rsidR="00E71A3B">
        <w:rPr>
          <w:lang w:val="fr-CA"/>
        </w:rPr>
        <w:t>En conséquence, il fait valoir que la directive de la greffière selon laquelle l’</w:t>
      </w:r>
      <w:r w:rsidR="00797AE2">
        <w:rPr>
          <w:lang w:val="fr-CA"/>
        </w:rPr>
        <w:t>audience aura</w:t>
      </w:r>
      <w:r w:rsidR="00E71A3B">
        <w:rPr>
          <w:lang w:val="fr-CA"/>
        </w:rPr>
        <w:t xml:space="preserve"> lieu à Toronto était appropriée et conforme à la pratique bien établie du CEJP</w:t>
      </w:r>
      <w:r w:rsidR="00AA25F5" w:rsidRPr="00263F8D">
        <w:rPr>
          <w:lang w:val="fr-CA"/>
        </w:rPr>
        <w:t xml:space="preserve">. </w:t>
      </w:r>
    </w:p>
    <w:p w14:paraId="5DC4609C" w14:textId="77777777" w:rsidR="00AA25F5" w:rsidRPr="00263F8D" w:rsidRDefault="00AA25F5" w:rsidP="00F128BE">
      <w:pPr>
        <w:pStyle w:val="ListParagraph"/>
        <w:spacing w:after="0"/>
        <w:ind w:left="851" w:hanging="851"/>
        <w:jc w:val="both"/>
        <w:rPr>
          <w:lang w:val="fr-CA"/>
        </w:rPr>
      </w:pPr>
    </w:p>
    <w:p w14:paraId="59AC8C99" w14:textId="2C843A34" w:rsidR="00BB729C" w:rsidRPr="00263F8D" w:rsidRDefault="000B5FFA" w:rsidP="00F128BE">
      <w:pPr>
        <w:pStyle w:val="ListParagraph"/>
        <w:numPr>
          <w:ilvl w:val="0"/>
          <w:numId w:val="5"/>
        </w:numPr>
        <w:spacing w:after="0"/>
        <w:ind w:left="851" w:hanging="851"/>
        <w:jc w:val="both"/>
        <w:rPr>
          <w:lang w:val="fr-CA"/>
        </w:rPr>
      </w:pPr>
      <w:r>
        <w:rPr>
          <w:lang w:val="fr-CA"/>
        </w:rPr>
        <w:t xml:space="preserve">L’avocat </w:t>
      </w:r>
      <w:r w:rsidR="00E77E68">
        <w:rPr>
          <w:lang w:val="fr-CA"/>
        </w:rPr>
        <w:t>chargé de présenter le dossier</w:t>
      </w:r>
      <w:r>
        <w:rPr>
          <w:lang w:val="fr-CA"/>
        </w:rPr>
        <w:t xml:space="preserve"> </w:t>
      </w:r>
      <w:r w:rsidR="00E71A3B">
        <w:rPr>
          <w:lang w:val="fr-CA"/>
        </w:rPr>
        <w:t xml:space="preserve">rejette l’argument portant que les principes de droit criminel devraient être appliqués à un domaine du droit administratif régi par des lois provinciales. Il souligne que, contrairement au contexte d’un tribunal administratif, </w:t>
      </w:r>
      <w:r w:rsidR="008D21CA">
        <w:rPr>
          <w:lang w:val="fr-CA"/>
        </w:rPr>
        <w:t xml:space="preserve">il existe des présomptions de </w:t>
      </w:r>
      <w:proofErr w:type="spellStart"/>
      <w:r w:rsidR="008D21CA" w:rsidRPr="008D21CA">
        <w:rPr>
          <w:i/>
          <w:lang w:val="fr-CA"/>
        </w:rPr>
        <w:t>common</w:t>
      </w:r>
      <w:proofErr w:type="spellEnd"/>
      <w:r w:rsidR="008D21CA" w:rsidRPr="008D21CA">
        <w:rPr>
          <w:i/>
          <w:lang w:val="fr-CA"/>
        </w:rPr>
        <w:t xml:space="preserve"> </w:t>
      </w:r>
      <w:proofErr w:type="spellStart"/>
      <w:r w:rsidR="008D21CA" w:rsidRPr="008D21CA">
        <w:rPr>
          <w:i/>
          <w:lang w:val="fr-CA"/>
        </w:rPr>
        <w:t>law</w:t>
      </w:r>
      <w:proofErr w:type="spellEnd"/>
      <w:r w:rsidR="008D21CA">
        <w:rPr>
          <w:lang w:val="fr-CA"/>
        </w:rPr>
        <w:t xml:space="preserve"> relatives au lieu d’un procès en matière criminelle, des dispositions spécifiques du </w:t>
      </w:r>
      <w:r w:rsidR="008D21CA" w:rsidRPr="008D21CA">
        <w:rPr>
          <w:i/>
          <w:lang w:val="fr-CA"/>
        </w:rPr>
        <w:t>Code criminel</w:t>
      </w:r>
      <w:r w:rsidR="008D21CA">
        <w:rPr>
          <w:lang w:val="fr-CA"/>
        </w:rPr>
        <w:t xml:space="preserve"> à cet égard, et des facteurs fondamentaux concernant l’impartialité ou la partialité du jury à prendre en compte</w:t>
      </w:r>
      <w:r w:rsidR="00BB729C" w:rsidRPr="00263F8D">
        <w:rPr>
          <w:lang w:val="fr-CA"/>
        </w:rPr>
        <w:t xml:space="preserve">. </w:t>
      </w:r>
    </w:p>
    <w:p w14:paraId="4D9F2699" w14:textId="77777777" w:rsidR="00AA25F5" w:rsidRPr="00263F8D" w:rsidRDefault="00AA25F5" w:rsidP="00F128BE">
      <w:pPr>
        <w:pStyle w:val="ListParagraph"/>
        <w:spacing w:after="0"/>
        <w:ind w:left="851" w:hanging="851"/>
        <w:jc w:val="both"/>
        <w:rPr>
          <w:lang w:val="fr-CA"/>
        </w:rPr>
      </w:pPr>
    </w:p>
    <w:p w14:paraId="7CC62231" w14:textId="55BBCE1F" w:rsidR="006723F9" w:rsidRPr="00263F8D" w:rsidRDefault="000B5FFA" w:rsidP="00E77E68">
      <w:pPr>
        <w:pStyle w:val="ListParagraph"/>
        <w:numPr>
          <w:ilvl w:val="0"/>
          <w:numId w:val="5"/>
        </w:numPr>
        <w:spacing w:after="0"/>
        <w:ind w:left="851" w:hanging="851"/>
        <w:jc w:val="both"/>
        <w:rPr>
          <w:lang w:val="fr-CA"/>
        </w:rPr>
      </w:pPr>
      <w:r>
        <w:rPr>
          <w:lang w:val="fr-CA"/>
        </w:rPr>
        <w:t xml:space="preserve">L’avocat </w:t>
      </w:r>
      <w:r w:rsidR="00E77E68">
        <w:rPr>
          <w:lang w:val="fr-CA"/>
        </w:rPr>
        <w:t xml:space="preserve">chargé de présenter le dossier </w:t>
      </w:r>
      <w:r w:rsidR="008D21CA">
        <w:rPr>
          <w:lang w:val="fr-CA"/>
        </w:rPr>
        <w:t>affirme qu’il n’existe pas de présomption quant au lieu d’une audience dans le contexte de tribunaux administratifs constitués en vertu du droit provincial, comme le CEJP; au contraire, de nombreux tribunaux administratifs sont présumés tenir leurs audiences dans leurs bureaux et ne changer de lieu que dans des circonstances exceptionnelles. Il a renvoyé à divers organismes professionnels, comme le Barreau de l’Ontario, l’</w:t>
      </w:r>
      <w:r w:rsidR="008D21CA" w:rsidRPr="008D21CA">
        <w:rPr>
          <w:lang w:val="fr-CA"/>
        </w:rPr>
        <w:t>Ordre des médecins et chirurgiens de l'Ontario</w:t>
      </w:r>
      <w:r w:rsidR="003867AA" w:rsidRPr="00263F8D">
        <w:rPr>
          <w:lang w:val="fr-CA"/>
        </w:rPr>
        <w:t xml:space="preserve">, </w:t>
      </w:r>
      <w:r w:rsidR="008D21CA">
        <w:rPr>
          <w:lang w:val="fr-CA"/>
        </w:rPr>
        <w:t>l’</w:t>
      </w:r>
      <w:r w:rsidR="008D21CA" w:rsidRPr="008D21CA">
        <w:rPr>
          <w:lang w:val="fr-CA"/>
        </w:rPr>
        <w:t>Ordre des pharmaciens de l'Ontario</w:t>
      </w:r>
      <w:r w:rsidR="00A80C28" w:rsidRPr="00263F8D">
        <w:rPr>
          <w:lang w:val="fr-CA"/>
        </w:rPr>
        <w:t xml:space="preserve"> </w:t>
      </w:r>
      <w:r w:rsidR="008D21CA">
        <w:rPr>
          <w:lang w:val="fr-CA"/>
        </w:rPr>
        <w:t>et l’</w:t>
      </w:r>
      <w:r w:rsidR="008D21CA" w:rsidRPr="008D21CA">
        <w:rPr>
          <w:lang w:val="fr-CA"/>
        </w:rPr>
        <w:t xml:space="preserve">Ordre royal des </w:t>
      </w:r>
      <w:proofErr w:type="spellStart"/>
      <w:r w:rsidR="008D21CA" w:rsidRPr="008D21CA">
        <w:rPr>
          <w:lang w:val="fr-CA"/>
        </w:rPr>
        <w:t>chirurgiens dentistes</w:t>
      </w:r>
      <w:proofErr w:type="spellEnd"/>
      <w:r w:rsidR="008D21CA" w:rsidRPr="008D21CA">
        <w:rPr>
          <w:lang w:val="fr-CA"/>
        </w:rPr>
        <w:t xml:space="preserve"> de l'Ontario</w:t>
      </w:r>
      <w:r w:rsidR="006723F9" w:rsidRPr="00263F8D">
        <w:rPr>
          <w:lang w:val="fr-CA"/>
        </w:rPr>
        <w:t xml:space="preserve">. </w:t>
      </w:r>
      <w:r w:rsidR="008D72BC">
        <w:rPr>
          <w:lang w:val="fr-CA"/>
        </w:rPr>
        <w:t>À l’exception du Barreau, tous ces organismes disciplinaires professionnels tiennent leurs audiences dans leur quartier général. Les Règles de pratique et de procédure du Tribunal du Barreau prévoient une règle par défaut selon laquelle chaque audience doit être tenue au Tribunal du Barreau de Toronto. Les parties peuvent déposer une motion en vue d’obtenir une ordonnance exigeant que l’audience ait lieu ailleurs</w:t>
      </w:r>
      <w:r w:rsidR="00A80C28" w:rsidRPr="00263F8D">
        <w:rPr>
          <w:lang w:val="fr-CA"/>
        </w:rPr>
        <w:t xml:space="preserve">. </w:t>
      </w:r>
    </w:p>
    <w:p w14:paraId="3E8A9C26" w14:textId="77777777" w:rsidR="00CA22C3" w:rsidRPr="00263F8D" w:rsidRDefault="00CA22C3" w:rsidP="00F128BE">
      <w:pPr>
        <w:pStyle w:val="ListParagraph"/>
        <w:ind w:left="851" w:hanging="851"/>
        <w:rPr>
          <w:lang w:val="fr-CA"/>
        </w:rPr>
      </w:pPr>
    </w:p>
    <w:p w14:paraId="1727B60A" w14:textId="4A153E27" w:rsidR="00CA22C3" w:rsidRPr="00263F8D" w:rsidRDefault="000B5FFA" w:rsidP="00F128BE">
      <w:pPr>
        <w:pStyle w:val="ListParagraph"/>
        <w:numPr>
          <w:ilvl w:val="0"/>
          <w:numId w:val="5"/>
        </w:numPr>
        <w:spacing w:after="0"/>
        <w:ind w:left="851" w:hanging="851"/>
        <w:jc w:val="both"/>
        <w:rPr>
          <w:lang w:val="fr-CA"/>
        </w:rPr>
      </w:pPr>
      <w:r>
        <w:rPr>
          <w:lang w:val="fr-CA"/>
        </w:rPr>
        <w:lastRenderedPageBreak/>
        <w:t xml:space="preserve">L’avocat </w:t>
      </w:r>
      <w:r w:rsidR="00C75E04">
        <w:rPr>
          <w:lang w:val="fr-CA"/>
        </w:rPr>
        <w:t xml:space="preserve">chargé de présenter le dossier </w:t>
      </w:r>
      <w:r w:rsidR="008D72BC">
        <w:rPr>
          <w:lang w:val="fr-CA"/>
        </w:rPr>
        <w:t xml:space="preserve">reconnaît que le </w:t>
      </w:r>
      <w:r w:rsidR="006B354E">
        <w:rPr>
          <w:rFonts w:eastAsia="Times New Roman" w:cstheme="minorHAnsi"/>
          <w:szCs w:val="24"/>
          <w:lang w:val="fr-CA" w:eastAsia="en-CA"/>
        </w:rPr>
        <w:t xml:space="preserve">Document relatif aux procédures du CEJP ne contient pas de règles précises régissant les requêtes relatives au lieu d’une audience. Par analogie, l’avocat </w:t>
      </w:r>
      <w:r w:rsidR="00C75E04">
        <w:rPr>
          <w:lang w:val="fr-CA"/>
        </w:rPr>
        <w:t xml:space="preserve">chargé de présenter le dossier </w:t>
      </w:r>
      <w:r w:rsidR="006B354E">
        <w:rPr>
          <w:rFonts w:eastAsia="Times New Roman" w:cstheme="minorHAnsi"/>
          <w:szCs w:val="24"/>
          <w:lang w:val="fr-CA" w:eastAsia="en-CA"/>
        </w:rPr>
        <w:t xml:space="preserve">plaide que les Règles de pratique et de procédure du Tribunal du Barreau </w:t>
      </w:r>
      <w:r w:rsidR="00797AE2">
        <w:rPr>
          <w:rFonts w:eastAsia="Times New Roman" w:cstheme="minorHAnsi"/>
          <w:szCs w:val="24"/>
          <w:lang w:val="fr-CA" w:eastAsia="en-CA"/>
        </w:rPr>
        <w:t xml:space="preserve">énoncent </w:t>
      </w:r>
      <w:r w:rsidR="006B354E">
        <w:rPr>
          <w:rFonts w:eastAsia="Times New Roman" w:cstheme="minorHAnsi"/>
          <w:szCs w:val="24"/>
          <w:lang w:val="fr-CA" w:eastAsia="en-CA"/>
        </w:rPr>
        <w:t xml:space="preserve">quelques facteurs </w:t>
      </w:r>
      <w:r w:rsidR="00797AE2">
        <w:rPr>
          <w:rFonts w:eastAsia="Times New Roman" w:cstheme="minorHAnsi"/>
          <w:szCs w:val="24"/>
          <w:lang w:val="fr-CA" w:eastAsia="en-CA"/>
        </w:rPr>
        <w:t xml:space="preserve">pertinents </w:t>
      </w:r>
      <w:r w:rsidR="006B354E">
        <w:rPr>
          <w:rFonts w:eastAsia="Times New Roman" w:cstheme="minorHAnsi"/>
          <w:szCs w:val="24"/>
          <w:lang w:val="fr-CA" w:eastAsia="en-CA"/>
        </w:rPr>
        <w:t>que le comité d’audition peut prendre en considération</w:t>
      </w:r>
      <w:r w:rsidR="00CA22C3" w:rsidRPr="00263F8D">
        <w:rPr>
          <w:lang w:val="fr-CA"/>
        </w:rPr>
        <w:t xml:space="preserve">. </w:t>
      </w:r>
      <w:r w:rsidR="006B354E">
        <w:rPr>
          <w:lang w:val="fr-CA"/>
        </w:rPr>
        <w:t xml:space="preserve">En fin de compte, </w:t>
      </w:r>
      <w:r w:rsidR="00797AE2">
        <w:rPr>
          <w:lang w:val="fr-CA"/>
        </w:rPr>
        <w:t xml:space="preserve">l’avocat </w:t>
      </w:r>
      <w:r w:rsidR="00C75E04">
        <w:rPr>
          <w:lang w:val="fr-CA"/>
        </w:rPr>
        <w:t xml:space="preserve">chargé de présenter le dossier </w:t>
      </w:r>
      <w:r w:rsidR="006B354E">
        <w:rPr>
          <w:lang w:val="fr-CA"/>
        </w:rPr>
        <w:t>soutient qu’il revient à la juge de paix de démontrer qu</w:t>
      </w:r>
      <w:r w:rsidR="00AB2B2B">
        <w:rPr>
          <w:lang w:val="fr-CA"/>
        </w:rPr>
        <w:t>’il est dans l’intérêt de la justice, y compris du point de vue des coûts, de l’équité et de la commodité des parties, de tenir l’audience ailleurs</w:t>
      </w:r>
      <w:r w:rsidR="006021EF" w:rsidRPr="00263F8D">
        <w:rPr>
          <w:lang w:val="fr-CA"/>
        </w:rPr>
        <w:t xml:space="preserve">. </w:t>
      </w:r>
    </w:p>
    <w:p w14:paraId="127AFCBC" w14:textId="77777777" w:rsidR="00CA22C3" w:rsidRPr="00263F8D" w:rsidRDefault="00CA22C3" w:rsidP="00F128BE">
      <w:pPr>
        <w:spacing w:after="0"/>
        <w:ind w:left="851" w:hanging="851"/>
        <w:jc w:val="both"/>
        <w:rPr>
          <w:lang w:val="fr-CA"/>
        </w:rPr>
      </w:pPr>
    </w:p>
    <w:p w14:paraId="62E94CF2" w14:textId="22398F9C" w:rsidR="00CA22C3" w:rsidRPr="00263F8D" w:rsidRDefault="000B5FFA" w:rsidP="00F128BE">
      <w:pPr>
        <w:pStyle w:val="ListParagraph"/>
        <w:numPr>
          <w:ilvl w:val="0"/>
          <w:numId w:val="5"/>
        </w:numPr>
        <w:spacing w:after="0"/>
        <w:ind w:left="851" w:hanging="851"/>
        <w:jc w:val="both"/>
        <w:rPr>
          <w:lang w:val="fr-CA"/>
        </w:rPr>
      </w:pPr>
      <w:r>
        <w:rPr>
          <w:lang w:val="fr-CA"/>
        </w:rPr>
        <w:t xml:space="preserve">L’avocat </w:t>
      </w:r>
      <w:r w:rsidR="00C75E04">
        <w:rPr>
          <w:lang w:val="fr-CA"/>
        </w:rPr>
        <w:t xml:space="preserve">chargé de présenter le dossier </w:t>
      </w:r>
      <w:r w:rsidR="00AB2B2B">
        <w:rPr>
          <w:lang w:val="fr-CA"/>
        </w:rPr>
        <w:t xml:space="preserve">soutient que le comité d’audition devrait comparer le coût de la tenue de l’audience dans la région de l’Est au coût de la tenue de l’audience à </w:t>
      </w:r>
      <w:r w:rsidR="006021EF" w:rsidRPr="00263F8D">
        <w:rPr>
          <w:lang w:val="fr-CA"/>
        </w:rPr>
        <w:t>Toronto</w:t>
      </w:r>
      <w:r w:rsidR="00E57B20">
        <w:rPr>
          <w:lang w:val="fr-CA"/>
        </w:rPr>
        <w:t>,</w:t>
      </w:r>
      <w:r w:rsidR="00AB2B2B">
        <w:rPr>
          <w:lang w:val="fr-CA"/>
        </w:rPr>
        <w:t xml:space="preserve"> pour le CEJP</w:t>
      </w:r>
      <w:r w:rsidR="006021EF" w:rsidRPr="00263F8D">
        <w:rPr>
          <w:lang w:val="fr-CA"/>
        </w:rPr>
        <w:t xml:space="preserve">, </w:t>
      </w:r>
      <w:r w:rsidR="00AB2B2B">
        <w:rPr>
          <w:lang w:val="fr-CA"/>
        </w:rPr>
        <w:t xml:space="preserve">sur le plan financier et organisationnel. L’avocat </w:t>
      </w:r>
      <w:r w:rsidR="00C75E04">
        <w:rPr>
          <w:lang w:val="fr-CA"/>
        </w:rPr>
        <w:t xml:space="preserve">chargé de présenter le dossier </w:t>
      </w:r>
      <w:r w:rsidR="00AB2B2B">
        <w:rPr>
          <w:lang w:val="fr-CA"/>
        </w:rPr>
        <w:t>fait valoir que même si les témoins centraux devront probablement donner leurs témoignages</w:t>
      </w:r>
      <w:r w:rsidR="00CA22C3" w:rsidRPr="00263F8D">
        <w:rPr>
          <w:lang w:val="fr-CA"/>
        </w:rPr>
        <w:t xml:space="preserve"> </w:t>
      </w:r>
      <w:r w:rsidR="00AB2B2B">
        <w:rPr>
          <w:lang w:val="fr-CA"/>
        </w:rPr>
        <w:t>en personne, les personnes qui doivent témoigner sur des questions secondaires pourront facilement donner leurs témoignages par vidéoconférence</w:t>
      </w:r>
      <w:r w:rsidR="00CA22C3" w:rsidRPr="00263F8D">
        <w:rPr>
          <w:lang w:val="fr-CA"/>
        </w:rPr>
        <w:t>.</w:t>
      </w:r>
    </w:p>
    <w:p w14:paraId="45BE1996" w14:textId="1110C16C" w:rsidR="003867AA" w:rsidRPr="00263F8D" w:rsidRDefault="003867AA" w:rsidP="00F128BE">
      <w:pPr>
        <w:spacing w:after="0"/>
        <w:ind w:left="851" w:hanging="851"/>
        <w:jc w:val="both"/>
        <w:rPr>
          <w:lang w:val="fr-CA"/>
        </w:rPr>
      </w:pPr>
      <w:r w:rsidRPr="00263F8D">
        <w:rPr>
          <w:lang w:val="fr-CA"/>
        </w:rPr>
        <w:t xml:space="preserve">             </w:t>
      </w:r>
    </w:p>
    <w:p w14:paraId="662DEE43" w14:textId="4C78CF9B" w:rsidR="00F52B1D" w:rsidRPr="00263F8D" w:rsidRDefault="000B5FFA" w:rsidP="007046CA">
      <w:pPr>
        <w:pStyle w:val="ListParagraph"/>
        <w:numPr>
          <w:ilvl w:val="0"/>
          <w:numId w:val="5"/>
        </w:numPr>
        <w:spacing w:after="0"/>
        <w:ind w:left="851" w:hanging="851"/>
        <w:jc w:val="both"/>
        <w:rPr>
          <w:lang w:val="fr-CA"/>
        </w:rPr>
      </w:pPr>
      <w:r>
        <w:rPr>
          <w:lang w:val="fr-CA"/>
        </w:rPr>
        <w:t xml:space="preserve">L’avocat </w:t>
      </w:r>
      <w:r w:rsidR="00C75E04">
        <w:rPr>
          <w:lang w:val="fr-CA"/>
        </w:rPr>
        <w:t xml:space="preserve">chargé de présenter le dossier </w:t>
      </w:r>
      <w:r w:rsidR="007046CA">
        <w:rPr>
          <w:lang w:val="fr-CA"/>
        </w:rPr>
        <w:t xml:space="preserve">a aussi abordé la préoccupation soulevée par la juge de paix relativement à l’affidavit de la greffière. Il a indiqué que cet affidavit avait été déposé par la greffière à la demande de l’avocat </w:t>
      </w:r>
      <w:r w:rsidR="00C75E04">
        <w:rPr>
          <w:lang w:val="fr-CA"/>
        </w:rPr>
        <w:t xml:space="preserve">chargé de présenter le dossier </w:t>
      </w:r>
      <w:r w:rsidR="007046CA">
        <w:rPr>
          <w:lang w:val="fr-CA"/>
        </w:rPr>
        <w:t xml:space="preserve">afin de fournir au comité d’audition des renseignements utiles </w:t>
      </w:r>
      <w:r w:rsidR="00E57B20">
        <w:rPr>
          <w:lang w:val="fr-CA"/>
        </w:rPr>
        <w:t>qui</w:t>
      </w:r>
      <w:r w:rsidR="007046CA">
        <w:rPr>
          <w:lang w:val="fr-CA"/>
        </w:rPr>
        <w:t xml:space="preserve"> lui permettr</w:t>
      </w:r>
      <w:r w:rsidR="00E57B20">
        <w:rPr>
          <w:lang w:val="fr-CA"/>
        </w:rPr>
        <w:t>ont</w:t>
      </w:r>
      <w:r w:rsidR="007046CA">
        <w:rPr>
          <w:lang w:val="fr-CA"/>
        </w:rPr>
        <w:t xml:space="preserve"> d’évaluer </w:t>
      </w:r>
      <w:r w:rsidR="007046CA" w:rsidRPr="007046CA">
        <w:rPr>
          <w:lang w:val="fr-CA"/>
        </w:rPr>
        <w:t>la prépondérance des inconvénients</w:t>
      </w:r>
      <w:r w:rsidR="006723F9" w:rsidRPr="00263F8D">
        <w:rPr>
          <w:lang w:val="fr-CA"/>
        </w:rPr>
        <w:t xml:space="preserve">. </w:t>
      </w:r>
      <w:r w:rsidR="00C15259">
        <w:rPr>
          <w:lang w:val="fr-CA"/>
        </w:rPr>
        <w:t xml:space="preserve">Il estime que cet élément de preuve ne cause aucun conflit et que la greffière était la seule personne capable de fournir ce genre de preuve. </w:t>
      </w:r>
      <w:r w:rsidR="00E57B20">
        <w:rPr>
          <w:lang w:val="fr-CA"/>
        </w:rPr>
        <w:t>Essentiellement, l</w:t>
      </w:r>
      <w:r w:rsidR="00C15259">
        <w:rPr>
          <w:lang w:val="fr-CA"/>
        </w:rPr>
        <w:t>a greffière organise les audiences et est responsable de trouver et de réserver des locaux pour les audiences</w:t>
      </w:r>
      <w:r w:rsidR="00CE370A" w:rsidRPr="00263F8D">
        <w:rPr>
          <w:lang w:val="fr-CA"/>
        </w:rPr>
        <w:t>.</w:t>
      </w:r>
    </w:p>
    <w:p w14:paraId="3B13027D" w14:textId="3CF47C21" w:rsidR="003867AA" w:rsidRPr="00263F8D" w:rsidRDefault="003867AA" w:rsidP="00F128BE">
      <w:pPr>
        <w:spacing w:after="0"/>
        <w:ind w:left="851" w:hanging="851"/>
        <w:jc w:val="both"/>
        <w:rPr>
          <w:lang w:val="fr-CA"/>
        </w:rPr>
      </w:pPr>
      <w:r w:rsidRPr="00263F8D">
        <w:rPr>
          <w:lang w:val="fr-CA"/>
        </w:rPr>
        <w:t xml:space="preserve">              </w:t>
      </w:r>
    </w:p>
    <w:p w14:paraId="67FB1D4F" w14:textId="1C6AFB96" w:rsidR="005A3778" w:rsidRPr="00263F8D" w:rsidRDefault="005A3778" w:rsidP="00F128BE">
      <w:pPr>
        <w:spacing w:after="0"/>
        <w:ind w:left="851" w:hanging="851"/>
        <w:jc w:val="both"/>
        <w:rPr>
          <w:u w:val="single"/>
          <w:lang w:val="fr-CA"/>
        </w:rPr>
      </w:pPr>
      <w:r w:rsidRPr="00263F8D">
        <w:rPr>
          <w:u w:val="single"/>
          <w:lang w:val="fr-CA"/>
        </w:rPr>
        <w:t>D</w:t>
      </w:r>
      <w:r w:rsidR="000B5FFA">
        <w:rPr>
          <w:u w:val="single"/>
          <w:lang w:val="fr-CA"/>
        </w:rPr>
        <w:t>é</w:t>
      </w:r>
      <w:r w:rsidRPr="00263F8D">
        <w:rPr>
          <w:u w:val="single"/>
          <w:lang w:val="fr-CA"/>
        </w:rPr>
        <w:t>cision</w:t>
      </w:r>
    </w:p>
    <w:p w14:paraId="65D37CD0" w14:textId="77777777" w:rsidR="00CA22C3" w:rsidRPr="00263F8D" w:rsidRDefault="00CA22C3" w:rsidP="00F128BE">
      <w:pPr>
        <w:spacing w:after="0"/>
        <w:ind w:left="851" w:hanging="851"/>
        <w:jc w:val="both"/>
        <w:rPr>
          <w:u w:val="single"/>
          <w:lang w:val="fr-CA"/>
        </w:rPr>
      </w:pPr>
    </w:p>
    <w:p w14:paraId="5F485975" w14:textId="5A0113CA" w:rsidR="003867AA" w:rsidRPr="00263F8D" w:rsidRDefault="00CE09EA" w:rsidP="00F128BE">
      <w:pPr>
        <w:pStyle w:val="ListParagraph"/>
        <w:numPr>
          <w:ilvl w:val="0"/>
          <w:numId w:val="5"/>
        </w:numPr>
        <w:spacing w:after="0"/>
        <w:ind w:left="851" w:hanging="851"/>
        <w:jc w:val="both"/>
        <w:rPr>
          <w:lang w:val="fr-CA"/>
        </w:rPr>
      </w:pPr>
      <w:r>
        <w:rPr>
          <w:lang w:val="fr-CA"/>
        </w:rPr>
        <w:t xml:space="preserve">En fonction des observations orales et écrites des avocats et des preuves déposées, ainsi que de la législation applicable et du Document relatif aux procédures, le comité d’audition conclut qu’il a compétence pour ordonner que l’audience ait lieu </w:t>
      </w:r>
      <w:r w:rsidR="00292F9B">
        <w:rPr>
          <w:lang w:val="fr-CA"/>
        </w:rPr>
        <w:t xml:space="preserve">ailleurs qu’à Toronto. Toutefois, pour les motifs qui suivent, le comité d’audition ordonne que l’audience se tienne à </w:t>
      </w:r>
      <w:r w:rsidR="00062612" w:rsidRPr="00263F8D">
        <w:rPr>
          <w:lang w:val="fr-CA"/>
        </w:rPr>
        <w:t>Toronto.</w:t>
      </w:r>
    </w:p>
    <w:p w14:paraId="759CCDE5" w14:textId="77777777" w:rsidR="003867AA" w:rsidRPr="00263F8D" w:rsidRDefault="003867AA" w:rsidP="00F128BE">
      <w:pPr>
        <w:spacing w:after="0"/>
        <w:ind w:left="851" w:hanging="851"/>
        <w:jc w:val="both"/>
        <w:rPr>
          <w:lang w:val="fr-CA"/>
        </w:rPr>
      </w:pPr>
    </w:p>
    <w:p w14:paraId="4F0620B9" w14:textId="2B0109DE" w:rsidR="001244CC" w:rsidRPr="00263F8D" w:rsidRDefault="006A56D7" w:rsidP="00F128BE">
      <w:pPr>
        <w:pStyle w:val="ListParagraph"/>
        <w:numPr>
          <w:ilvl w:val="0"/>
          <w:numId w:val="5"/>
        </w:numPr>
        <w:spacing w:after="0"/>
        <w:ind w:left="851" w:hanging="851"/>
        <w:jc w:val="both"/>
        <w:rPr>
          <w:lang w:val="fr-CA"/>
        </w:rPr>
      </w:pPr>
      <w:r>
        <w:rPr>
          <w:lang w:val="fr-CA"/>
        </w:rPr>
        <w:t xml:space="preserve">Le comité d’audition convient avec l’avocat </w:t>
      </w:r>
      <w:r w:rsidR="00C75E04">
        <w:rPr>
          <w:lang w:val="fr-CA"/>
        </w:rPr>
        <w:t xml:space="preserve">chargé de présenter le dossier </w:t>
      </w:r>
      <w:r>
        <w:rPr>
          <w:lang w:val="fr-CA"/>
        </w:rPr>
        <w:t>qu’il revient à la juge de paix de démontrer qu’il est dans l’intérêt de la justice, y compris du point de vue des coûts, de l’équité et de la commodité des parties, de tenir l’audience dans la région de l’Est</w:t>
      </w:r>
      <w:r w:rsidR="00062612" w:rsidRPr="00263F8D">
        <w:rPr>
          <w:lang w:val="fr-CA"/>
        </w:rPr>
        <w:t>.</w:t>
      </w:r>
    </w:p>
    <w:p w14:paraId="155A845E" w14:textId="77777777" w:rsidR="00CE370A" w:rsidRPr="00263F8D" w:rsidRDefault="00CE370A" w:rsidP="00F128BE">
      <w:pPr>
        <w:pStyle w:val="ListParagraph"/>
        <w:ind w:left="851" w:hanging="851"/>
        <w:rPr>
          <w:lang w:val="fr-CA"/>
        </w:rPr>
      </w:pPr>
    </w:p>
    <w:p w14:paraId="3627C521" w14:textId="62225710" w:rsidR="00CE370A" w:rsidRPr="00263F8D" w:rsidRDefault="007325CD" w:rsidP="00F128BE">
      <w:pPr>
        <w:pStyle w:val="ListParagraph"/>
        <w:numPr>
          <w:ilvl w:val="0"/>
          <w:numId w:val="5"/>
        </w:numPr>
        <w:spacing w:after="0"/>
        <w:ind w:left="851" w:hanging="851"/>
        <w:jc w:val="both"/>
        <w:rPr>
          <w:lang w:val="fr-CA"/>
        </w:rPr>
      </w:pPr>
      <w:r>
        <w:rPr>
          <w:lang w:val="fr-CA"/>
        </w:rPr>
        <w:t xml:space="preserve">Les observations de la juge de paix n’ont pas convaincu le comité d’audition que l’audience devrait avoir lieu près de son lieu de résidence ou de travail afin de réduire des inconvénients personnels, et </w:t>
      </w:r>
      <w:r w:rsidR="007F3100">
        <w:rPr>
          <w:lang w:val="fr-CA"/>
        </w:rPr>
        <w:t>d’</w:t>
      </w:r>
      <w:r>
        <w:rPr>
          <w:lang w:val="fr-CA"/>
        </w:rPr>
        <w:t>éviter des déplacements et du stress. Le comité d’audition relève que la commodité des parties n’est pas un facteur définitif ou déterminant</w:t>
      </w:r>
      <w:r w:rsidR="00182421" w:rsidRPr="00263F8D">
        <w:rPr>
          <w:lang w:val="fr-CA"/>
        </w:rPr>
        <w:t xml:space="preserve">.  </w:t>
      </w:r>
    </w:p>
    <w:p w14:paraId="2EC2435A" w14:textId="77777777" w:rsidR="00CE370A" w:rsidRPr="00263F8D" w:rsidRDefault="00CE370A" w:rsidP="00F128BE">
      <w:pPr>
        <w:pStyle w:val="ListParagraph"/>
        <w:ind w:left="851" w:hanging="851"/>
        <w:rPr>
          <w:lang w:val="fr-CA"/>
        </w:rPr>
      </w:pPr>
    </w:p>
    <w:p w14:paraId="5C88514F" w14:textId="5A72F10E" w:rsidR="00182421" w:rsidRPr="00263F8D" w:rsidRDefault="00491837" w:rsidP="00F128BE">
      <w:pPr>
        <w:pStyle w:val="ListParagraph"/>
        <w:numPr>
          <w:ilvl w:val="0"/>
          <w:numId w:val="5"/>
        </w:numPr>
        <w:spacing w:after="0"/>
        <w:ind w:left="851" w:hanging="851"/>
        <w:jc w:val="both"/>
        <w:rPr>
          <w:lang w:val="fr-CA"/>
        </w:rPr>
      </w:pPr>
      <w:r>
        <w:rPr>
          <w:lang w:val="fr-CA"/>
        </w:rPr>
        <w:t>En ce qui concerne les témoins, le comité d’audition fait observer que la technologie de la vidéoconférence est une méthode accepté</w:t>
      </w:r>
      <w:r w:rsidR="007F3100">
        <w:rPr>
          <w:lang w:val="fr-CA"/>
        </w:rPr>
        <w:t>e</w:t>
      </w:r>
      <w:r>
        <w:rPr>
          <w:lang w:val="fr-CA"/>
        </w:rPr>
        <w:t xml:space="preserve"> et économique que de nombreux tribunaux utilisent pour accommoder des témoins qui se trouvent hors de la ville.</w:t>
      </w:r>
      <w:r w:rsidR="00182421" w:rsidRPr="00263F8D">
        <w:rPr>
          <w:lang w:val="fr-CA"/>
        </w:rPr>
        <w:t xml:space="preserve"> </w:t>
      </w:r>
      <w:r w:rsidR="009810D3">
        <w:rPr>
          <w:lang w:val="fr-CA"/>
        </w:rPr>
        <w:t xml:space="preserve">Même si l’avocat de la juge de paix a exprimé sa crainte d’éprouver des difficultés techniques avec les vidéoconférences, le comité d’audience n’a reçu aucune preuve appuyant cette crainte autre que la mention d’un procès auquel cet avocat a participé à </w:t>
      </w:r>
      <w:r w:rsidR="00F55627" w:rsidRPr="00263F8D">
        <w:rPr>
          <w:lang w:val="fr-CA"/>
        </w:rPr>
        <w:t>Ottawa.</w:t>
      </w:r>
    </w:p>
    <w:p w14:paraId="305BDF97" w14:textId="77777777" w:rsidR="00182421" w:rsidRPr="00263F8D" w:rsidRDefault="00182421" w:rsidP="00F128BE">
      <w:pPr>
        <w:pStyle w:val="ListParagraph"/>
        <w:spacing w:after="0"/>
        <w:ind w:left="851" w:hanging="851"/>
        <w:jc w:val="both"/>
        <w:rPr>
          <w:lang w:val="fr-CA"/>
        </w:rPr>
      </w:pPr>
    </w:p>
    <w:p w14:paraId="1DE56B3F" w14:textId="4BC5333E" w:rsidR="006D20DA" w:rsidRPr="00263F8D" w:rsidRDefault="009810D3" w:rsidP="00F128BE">
      <w:pPr>
        <w:pStyle w:val="ListParagraph"/>
        <w:numPr>
          <w:ilvl w:val="0"/>
          <w:numId w:val="5"/>
        </w:numPr>
        <w:spacing w:after="0"/>
        <w:ind w:left="851" w:hanging="851"/>
        <w:jc w:val="both"/>
        <w:rPr>
          <w:lang w:val="fr-CA"/>
        </w:rPr>
      </w:pPr>
      <w:r>
        <w:rPr>
          <w:lang w:val="fr-CA"/>
        </w:rPr>
        <w:t>Quant aux coûts, le comité d’audition souligne que l’avocat de la juge de paix a mentionné qu’un grand nombre des coûts étaient comparables entre la région de l’Est et Toronto</w:t>
      </w:r>
      <w:r w:rsidR="001244CC" w:rsidRPr="00263F8D">
        <w:rPr>
          <w:lang w:val="fr-CA"/>
        </w:rPr>
        <w:t>.</w:t>
      </w:r>
    </w:p>
    <w:p w14:paraId="05501473" w14:textId="77777777" w:rsidR="006D20DA" w:rsidRPr="00263F8D" w:rsidRDefault="006D20DA" w:rsidP="006D20DA">
      <w:pPr>
        <w:pStyle w:val="ListParagraph"/>
        <w:rPr>
          <w:lang w:val="fr-CA"/>
        </w:rPr>
      </w:pPr>
    </w:p>
    <w:p w14:paraId="4D68FBB4" w14:textId="6A529500" w:rsidR="00D87699" w:rsidRPr="00263F8D" w:rsidRDefault="00531BE8" w:rsidP="00673AD9">
      <w:pPr>
        <w:pStyle w:val="ListParagraph"/>
        <w:numPr>
          <w:ilvl w:val="0"/>
          <w:numId w:val="5"/>
        </w:numPr>
        <w:spacing w:after="0"/>
        <w:ind w:left="851" w:hanging="851"/>
        <w:jc w:val="both"/>
        <w:rPr>
          <w:lang w:val="fr-CA"/>
        </w:rPr>
      </w:pPr>
      <w:r>
        <w:rPr>
          <w:lang w:val="fr-CA"/>
        </w:rPr>
        <w:t xml:space="preserve">Le comité d’audition fait remarquer que l’affidavit de la greffière, déposé par l’avocat </w:t>
      </w:r>
      <w:r w:rsidR="00C75E04">
        <w:rPr>
          <w:lang w:val="fr-CA"/>
        </w:rPr>
        <w:t>chargé de présenter le dossier</w:t>
      </w:r>
      <w:r>
        <w:rPr>
          <w:lang w:val="fr-CA"/>
        </w:rPr>
        <w:t xml:space="preserve">, déclare que le Conseil d’évaluation est doté d’un personnel très limité qui travaille aussi pour le Conseil de la magistrature de l’Ontario. L’affidavit décrit pourquoi une audience hors de Toronto ne serait pas pratique et entraînerait des </w:t>
      </w:r>
      <w:r w:rsidR="007F3100">
        <w:rPr>
          <w:lang w:val="fr-CA"/>
        </w:rPr>
        <w:t>problèmes</w:t>
      </w:r>
      <w:r>
        <w:rPr>
          <w:lang w:val="fr-CA"/>
        </w:rPr>
        <w:t xml:space="preserve"> opérationnels pour la continuité des activités des deux conseils</w:t>
      </w:r>
      <w:r w:rsidR="0060412D" w:rsidRPr="00263F8D">
        <w:rPr>
          <w:lang w:val="fr-CA"/>
        </w:rPr>
        <w:t xml:space="preserve">. </w:t>
      </w:r>
      <w:r w:rsidR="00B74F8E">
        <w:rPr>
          <w:lang w:val="fr-CA"/>
        </w:rPr>
        <w:t xml:space="preserve">L’avocat </w:t>
      </w:r>
      <w:r w:rsidR="00C75E04">
        <w:rPr>
          <w:lang w:val="fr-CA"/>
        </w:rPr>
        <w:t>chargé de présenter le dossier</w:t>
      </w:r>
      <w:r w:rsidR="00B74F8E">
        <w:rPr>
          <w:lang w:val="fr-CA"/>
        </w:rPr>
        <w:t xml:space="preserve"> déclare que si l’audience avait lieu dans la région de l’Est, le personnel du Conseil devrait se déplacer et demeurer dans la région de l’Est pour </w:t>
      </w:r>
      <w:r w:rsidR="00414C62">
        <w:rPr>
          <w:lang w:val="fr-CA"/>
        </w:rPr>
        <w:t xml:space="preserve">assurer le bon fonctionnement de l’audience. L’absence de la plus grande partie du personnel du bureau du CMO et du CEJP, pendant une audience que Me Bayne </w:t>
      </w:r>
      <w:r w:rsidR="007F3100">
        <w:rPr>
          <w:lang w:val="fr-CA"/>
        </w:rPr>
        <w:t>prévoit</w:t>
      </w:r>
      <w:r w:rsidR="00414C62">
        <w:rPr>
          <w:lang w:val="fr-CA"/>
        </w:rPr>
        <w:t xml:space="preserve"> longue, nuirait au bon fonctionnement des deux conseils. </w:t>
      </w:r>
    </w:p>
    <w:p w14:paraId="3D5E0C26" w14:textId="77777777" w:rsidR="0060412D" w:rsidRPr="00263F8D" w:rsidRDefault="0060412D" w:rsidP="0060412D">
      <w:pPr>
        <w:pStyle w:val="ListParagraph"/>
        <w:rPr>
          <w:lang w:val="fr-CA"/>
        </w:rPr>
      </w:pPr>
    </w:p>
    <w:p w14:paraId="147629DD" w14:textId="3ACB798B" w:rsidR="00D87699" w:rsidRPr="00263F8D" w:rsidRDefault="00DC78B6" w:rsidP="00F128BE">
      <w:pPr>
        <w:pStyle w:val="ListParagraph"/>
        <w:numPr>
          <w:ilvl w:val="0"/>
          <w:numId w:val="5"/>
        </w:numPr>
        <w:spacing w:after="0"/>
        <w:ind w:left="851" w:hanging="851"/>
        <w:jc w:val="both"/>
        <w:rPr>
          <w:lang w:val="fr-CA"/>
        </w:rPr>
      </w:pPr>
      <w:r>
        <w:rPr>
          <w:lang w:val="fr-CA"/>
        </w:rPr>
        <w:t>Nous relevons les préoccupations exprimées par l</w:t>
      </w:r>
      <w:r w:rsidR="007F3100">
        <w:rPr>
          <w:lang w:val="fr-CA"/>
        </w:rPr>
        <w:t>’avocat de l</w:t>
      </w:r>
      <w:r>
        <w:rPr>
          <w:lang w:val="fr-CA"/>
        </w:rPr>
        <w:t>a juge de paix à l’égard de l’affidavit émanant de la greffière du CEJP</w:t>
      </w:r>
      <w:r w:rsidR="00D87699" w:rsidRPr="00263F8D">
        <w:rPr>
          <w:lang w:val="fr-CA"/>
        </w:rPr>
        <w:t xml:space="preserve">. </w:t>
      </w:r>
      <w:r w:rsidR="00F832F3">
        <w:rPr>
          <w:lang w:val="fr-CA"/>
        </w:rPr>
        <w:t>Même si le comité d’audition n’est pas persuadé que l’affidavit suscite une crainte raisonnable de partialité, il estime qu’à l’avenir il serait préférable que ce genre de preuve provienne de personnes autres que le personnel du Conseil d’évaluation</w:t>
      </w:r>
      <w:r w:rsidR="00D87699" w:rsidRPr="00263F8D">
        <w:rPr>
          <w:lang w:val="fr-CA"/>
        </w:rPr>
        <w:t xml:space="preserve">.  </w:t>
      </w:r>
    </w:p>
    <w:p w14:paraId="4FABD6C5" w14:textId="77777777" w:rsidR="008B6651" w:rsidRPr="00263F8D" w:rsidRDefault="008B6651" w:rsidP="00F128BE">
      <w:pPr>
        <w:pStyle w:val="ListParagraph"/>
        <w:ind w:left="851" w:hanging="851"/>
        <w:rPr>
          <w:lang w:val="fr-CA"/>
        </w:rPr>
      </w:pPr>
    </w:p>
    <w:p w14:paraId="436E0980" w14:textId="683D04BC" w:rsidR="003867AA" w:rsidRPr="00263F8D" w:rsidRDefault="00F5036F" w:rsidP="007061DF">
      <w:pPr>
        <w:pStyle w:val="ListParagraph"/>
        <w:numPr>
          <w:ilvl w:val="0"/>
          <w:numId w:val="5"/>
        </w:numPr>
        <w:spacing w:after="0"/>
        <w:ind w:left="851" w:hanging="851"/>
        <w:jc w:val="both"/>
        <w:rPr>
          <w:lang w:val="fr-CA"/>
        </w:rPr>
      </w:pPr>
      <w:r>
        <w:rPr>
          <w:lang w:val="fr-CA"/>
        </w:rPr>
        <w:t xml:space="preserve">Étant donné le principe </w:t>
      </w:r>
      <w:r w:rsidR="007061DF">
        <w:rPr>
          <w:lang w:val="fr-CA"/>
        </w:rPr>
        <w:t xml:space="preserve">visant à </w:t>
      </w:r>
      <w:r w:rsidR="007061DF" w:rsidRPr="007061DF">
        <w:rPr>
          <w:lang w:val="fr-CA"/>
        </w:rPr>
        <w:t>garantir le règlement équitable de chaque instance sur le fond, de la façon la plus expéditive et la plus efficace par rapport au coût</w:t>
      </w:r>
      <w:r w:rsidR="007061DF">
        <w:rPr>
          <w:lang w:val="fr-CA"/>
        </w:rPr>
        <w:t xml:space="preserve">, comme le prévoit la LECL, et après avoir accepté que la comparaison la </w:t>
      </w:r>
      <w:r w:rsidR="007061DF">
        <w:rPr>
          <w:lang w:val="fr-CA"/>
        </w:rPr>
        <w:lastRenderedPageBreak/>
        <w:t xml:space="preserve">plus logique est celle des organismes disciplinaires professionnels qui ont pour pratique de tenir leurs audiences dans les bureaux de leur quartier général, notre comité d’audition décide que l’audience de la juge de paix aura lieu à </w:t>
      </w:r>
      <w:r w:rsidR="003867AA" w:rsidRPr="00263F8D">
        <w:rPr>
          <w:lang w:val="fr-CA"/>
        </w:rPr>
        <w:t>Toronto.</w:t>
      </w:r>
      <w:r w:rsidR="001244CC" w:rsidRPr="00263F8D">
        <w:rPr>
          <w:lang w:val="fr-CA"/>
        </w:rPr>
        <w:t xml:space="preserve"> </w:t>
      </w:r>
    </w:p>
    <w:p w14:paraId="7DE85349" w14:textId="77777777" w:rsidR="002307B2" w:rsidRPr="00263F8D" w:rsidRDefault="002307B2" w:rsidP="00F128BE">
      <w:pPr>
        <w:pStyle w:val="ListParagraph"/>
        <w:spacing w:after="0"/>
        <w:ind w:left="851" w:hanging="851"/>
        <w:jc w:val="both"/>
        <w:rPr>
          <w:lang w:val="fr-CA"/>
        </w:rPr>
      </w:pPr>
    </w:p>
    <w:p w14:paraId="3618A2D1" w14:textId="59241A6F" w:rsidR="002307B2" w:rsidRPr="00263F8D" w:rsidRDefault="00E22630" w:rsidP="00F128BE">
      <w:pPr>
        <w:pStyle w:val="ListParagraph"/>
        <w:numPr>
          <w:ilvl w:val="0"/>
          <w:numId w:val="5"/>
        </w:numPr>
        <w:spacing w:after="0"/>
        <w:ind w:left="851" w:hanging="851"/>
        <w:jc w:val="both"/>
        <w:rPr>
          <w:lang w:val="fr-CA"/>
        </w:rPr>
      </w:pPr>
      <w:r>
        <w:rPr>
          <w:lang w:val="fr-CA"/>
        </w:rPr>
        <w:t xml:space="preserve">Le comité d’audition fait observer que, depuis qu’il a rendu sa décision orale, le CEJP a modifié son Document relatif aux procédures pour prévoir que, sauf circonstances exceptionnelles, toutes les audiences du CEJP auront lieu à </w:t>
      </w:r>
      <w:r w:rsidR="002307B2" w:rsidRPr="00263F8D">
        <w:rPr>
          <w:lang w:val="fr-CA"/>
        </w:rPr>
        <w:t xml:space="preserve">Toronto. </w:t>
      </w:r>
      <w:r>
        <w:rPr>
          <w:lang w:val="fr-CA"/>
        </w:rPr>
        <w:t>Si le CEJP n’avait pas récemment modifié son Document relatif aux procédures pour y incorporer cette pratique de longue date, le comité d’audition aurait recommandé qu’il le fasse</w:t>
      </w:r>
      <w:r w:rsidR="002307B2" w:rsidRPr="00263F8D">
        <w:rPr>
          <w:lang w:val="fr-CA"/>
        </w:rPr>
        <w:t xml:space="preserve">. </w:t>
      </w:r>
    </w:p>
    <w:p w14:paraId="7B9F1248" w14:textId="622FA8F9" w:rsidR="009D1450" w:rsidRPr="00263F8D" w:rsidRDefault="00E22630" w:rsidP="00F128BE">
      <w:pPr>
        <w:spacing w:before="480" w:after="0"/>
        <w:ind w:left="851" w:hanging="851"/>
        <w:rPr>
          <w:lang w:val="fr-CA"/>
        </w:rPr>
      </w:pPr>
      <w:r>
        <w:rPr>
          <w:rFonts w:eastAsia="Times New Roman" w:cstheme="minorHAnsi"/>
          <w:szCs w:val="24"/>
          <w:lang w:val="fr-CA" w:eastAsia="en-CA"/>
        </w:rPr>
        <w:t xml:space="preserve">Fait dans la ville de Toronto, dans la province de l’Ontario, le 25 novembre </w:t>
      </w:r>
      <w:r w:rsidR="009D1450" w:rsidRPr="00263F8D">
        <w:rPr>
          <w:rFonts w:eastAsia="Times New Roman" w:cstheme="minorHAnsi"/>
          <w:szCs w:val="24"/>
          <w:lang w:val="fr-CA" w:eastAsia="en-CA"/>
        </w:rPr>
        <w:t xml:space="preserve">2019. </w:t>
      </w:r>
    </w:p>
    <w:p w14:paraId="6A402FDA" w14:textId="77777777" w:rsidR="009D1450" w:rsidRPr="00263F8D" w:rsidRDefault="009D1450" w:rsidP="00F128BE">
      <w:pPr>
        <w:spacing w:after="0" w:line="240" w:lineRule="auto"/>
        <w:ind w:left="851" w:right="-446" w:hanging="851"/>
        <w:rPr>
          <w:rFonts w:eastAsia="Times New Roman" w:cstheme="minorHAnsi"/>
          <w:szCs w:val="24"/>
          <w:lang w:val="fr-CA" w:eastAsia="en-CA"/>
        </w:rPr>
      </w:pPr>
    </w:p>
    <w:p w14:paraId="24A442AE" w14:textId="477EA35C" w:rsidR="009D1450" w:rsidRPr="00263F8D" w:rsidRDefault="00E22630" w:rsidP="00F128BE">
      <w:pPr>
        <w:spacing w:after="0" w:line="240" w:lineRule="auto"/>
        <w:ind w:left="851" w:right="-446" w:hanging="851"/>
        <w:rPr>
          <w:rFonts w:eastAsia="Times New Roman" w:cstheme="minorHAnsi"/>
          <w:b/>
          <w:szCs w:val="24"/>
          <w:lang w:val="fr-CA" w:eastAsia="en-CA"/>
        </w:rPr>
      </w:pPr>
      <w:r>
        <w:rPr>
          <w:rFonts w:eastAsia="Times New Roman" w:cstheme="minorHAnsi"/>
          <w:b/>
          <w:szCs w:val="24"/>
          <w:lang w:val="fr-CA" w:eastAsia="en-CA"/>
        </w:rPr>
        <w:t xml:space="preserve">MOTIFS DU COMITÉ D’AUDITION, </w:t>
      </w:r>
      <w:r w:rsidR="006606A4" w:rsidRPr="006606A4">
        <w:rPr>
          <w:rFonts w:eastAsia="Times New Roman" w:cstheme="minorHAnsi"/>
          <w:b/>
          <w:szCs w:val="24"/>
          <w:lang w:val="fr-CA" w:eastAsia="en-CA"/>
        </w:rPr>
        <w:t>TEL QU'IL ÉTAIT ALORS CONSTITUÉ</w:t>
      </w:r>
      <w:r w:rsidR="006606A4">
        <w:rPr>
          <w:rFonts w:eastAsia="Times New Roman" w:cstheme="minorHAnsi"/>
          <w:b/>
          <w:szCs w:val="24"/>
          <w:lang w:val="fr-CA" w:eastAsia="en-CA"/>
        </w:rPr>
        <w:t xml:space="preserve"> </w:t>
      </w:r>
      <w:r w:rsidR="009D1450" w:rsidRPr="00263F8D">
        <w:rPr>
          <w:rFonts w:eastAsia="Times New Roman" w:cstheme="minorHAnsi"/>
          <w:b/>
          <w:szCs w:val="24"/>
          <w:lang w:val="fr-CA" w:eastAsia="en-CA"/>
        </w:rPr>
        <w:t>:</w:t>
      </w:r>
    </w:p>
    <w:p w14:paraId="4C9ED332" w14:textId="583F75A2" w:rsidR="009D1450" w:rsidRPr="00263F8D" w:rsidRDefault="00E22630" w:rsidP="00F128BE">
      <w:pPr>
        <w:spacing w:before="240" w:after="240" w:line="240" w:lineRule="auto"/>
        <w:ind w:left="851" w:right="-448" w:hanging="851"/>
        <w:rPr>
          <w:rFonts w:eastAsia="Times New Roman" w:cstheme="minorHAnsi"/>
          <w:szCs w:val="24"/>
          <w:lang w:val="fr-CA" w:eastAsia="en-CA"/>
        </w:rPr>
      </w:pPr>
      <w:r>
        <w:rPr>
          <w:rFonts w:eastAsia="Times New Roman" w:cstheme="minorHAnsi"/>
          <w:szCs w:val="24"/>
          <w:lang w:val="fr-CA" w:eastAsia="en-CA"/>
        </w:rPr>
        <w:t>L’honorable juge</w:t>
      </w:r>
      <w:r w:rsidR="009D1450" w:rsidRPr="00263F8D">
        <w:rPr>
          <w:rFonts w:eastAsia="Times New Roman" w:cstheme="minorHAnsi"/>
          <w:szCs w:val="24"/>
          <w:lang w:val="fr-CA" w:eastAsia="en-CA"/>
        </w:rPr>
        <w:t xml:space="preserve"> Martin Lambert, </w:t>
      </w:r>
      <w:r>
        <w:rPr>
          <w:rFonts w:eastAsia="Times New Roman" w:cstheme="minorHAnsi"/>
          <w:szCs w:val="24"/>
          <w:lang w:val="fr-CA" w:eastAsia="en-CA"/>
        </w:rPr>
        <w:t>président</w:t>
      </w:r>
    </w:p>
    <w:p w14:paraId="18CDE749" w14:textId="77777777" w:rsidR="00E22630" w:rsidRPr="00263F8D" w:rsidRDefault="00E22630" w:rsidP="00E22630">
      <w:pPr>
        <w:spacing w:before="240" w:after="240" w:line="240" w:lineRule="auto"/>
        <w:ind w:right="-448"/>
        <w:rPr>
          <w:rFonts w:eastAsia="Times New Roman" w:cstheme="minorHAnsi"/>
          <w:szCs w:val="24"/>
          <w:lang w:val="fr-CA" w:eastAsia="en-CA"/>
        </w:rPr>
      </w:pPr>
      <w:r w:rsidRPr="00263F8D">
        <w:rPr>
          <w:rFonts w:cstheme="minorHAnsi"/>
          <w:szCs w:val="24"/>
          <w:lang w:val="fr-CA"/>
        </w:rPr>
        <w:t>La juge de paix Kristine Diaz, membre juge de paix</w:t>
      </w:r>
    </w:p>
    <w:p w14:paraId="060D9C90" w14:textId="2E2EA52D" w:rsidR="003867AA" w:rsidRPr="00263F8D" w:rsidRDefault="00E22630" w:rsidP="00E22630">
      <w:pPr>
        <w:spacing w:before="240" w:after="240" w:line="240" w:lineRule="auto"/>
        <w:ind w:left="851" w:right="-448" w:hanging="851"/>
        <w:rPr>
          <w:lang w:val="fr-CA"/>
        </w:rPr>
      </w:pPr>
      <w:r w:rsidRPr="00263F8D">
        <w:rPr>
          <w:rFonts w:eastAsia="Times New Roman" w:cstheme="minorHAnsi"/>
          <w:szCs w:val="24"/>
          <w:lang w:val="fr-CA" w:eastAsia="en-CA"/>
        </w:rPr>
        <w:t xml:space="preserve">Le Dr Michael Phillips, </w:t>
      </w:r>
      <w:r w:rsidRPr="00263F8D">
        <w:rPr>
          <w:rFonts w:ascii="Arial" w:hAnsi="Arial" w:cs="Arial"/>
          <w:szCs w:val="24"/>
          <w:lang w:val="fr-CA"/>
        </w:rPr>
        <w:t>membre du public</w:t>
      </w:r>
    </w:p>
    <w:p w14:paraId="533BE2C7" w14:textId="77777777" w:rsidR="00997DD8" w:rsidRPr="00263F8D" w:rsidRDefault="00480BA1" w:rsidP="00F128BE">
      <w:pPr>
        <w:ind w:left="851" w:hanging="851"/>
        <w:rPr>
          <w:lang w:val="fr-CA"/>
        </w:rPr>
      </w:pPr>
    </w:p>
    <w:sectPr w:rsidR="00997DD8" w:rsidRPr="00263F8D" w:rsidSect="00A84AD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DA1BA" w14:textId="77777777" w:rsidR="004C6BBC" w:rsidRDefault="004C6BBC" w:rsidP="00F72078">
      <w:pPr>
        <w:spacing w:after="0" w:line="240" w:lineRule="auto"/>
      </w:pPr>
      <w:r>
        <w:separator/>
      </w:r>
    </w:p>
  </w:endnote>
  <w:endnote w:type="continuationSeparator" w:id="0">
    <w:p w14:paraId="55ACC2FB" w14:textId="77777777" w:rsidR="004C6BBC" w:rsidRDefault="004C6BBC"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F3D7" w14:textId="77777777" w:rsidR="008C5785" w:rsidRDefault="008C5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875992"/>
      <w:docPartObj>
        <w:docPartGallery w:val="Page Numbers (Bottom of Page)"/>
        <w:docPartUnique/>
      </w:docPartObj>
    </w:sdtPr>
    <w:sdtEndPr>
      <w:rPr>
        <w:noProof/>
      </w:rPr>
    </w:sdtEndPr>
    <w:sdtContent>
      <w:p w14:paraId="4FC97E34" w14:textId="77777777" w:rsidR="00A84AD4" w:rsidRDefault="00A84AD4">
        <w:pPr>
          <w:pStyle w:val="Footer"/>
          <w:jc w:val="center"/>
        </w:pPr>
        <w:r>
          <w:fldChar w:fldCharType="begin"/>
        </w:r>
        <w:r>
          <w:instrText xml:space="preserve"> PAGE   \* MERGEFORMAT </w:instrText>
        </w:r>
        <w:r>
          <w:fldChar w:fldCharType="separate"/>
        </w:r>
        <w:r w:rsidR="008C5785">
          <w:rPr>
            <w:noProof/>
          </w:rPr>
          <w:t>2</w:t>
        </w:r>
        <w:r>
          <w:rPr>
            <w:noProof/>
          </w:rPr>
          <w:fldChar w:fldCharType="end"/>
        </w:r>
      </w:p>
    </w:sdtContent>
  </w:sdt>
  <w:p w14:paraId="7FFB7990" w14:textId="77777777" w:rsidR="00A84AD4" w:rsidRDefault="00A84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9E3F" w14:textId="77777777" w:rsidR="008C5785" w:rsidRDefault="008C5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4555F" w14:textId="77777777" w:rsidR="004C6BBC" w:rsidRDefault="004C6BBC" w:rsidP="00F72078">
      <w:pPr>
        <w:spacing w:after="0" w:line="240" w:lineRule="auto"/>
      </w:pPr>
      <w:r>
        <w:separator/>
      </w:r>
    </w:p>
  </w:footnote>
  <w:footnote w:type="continuationSeparator" w:id="0">
    <w:p w14:paraId="04D40856" w14:textId="77777777" w:rsidR="004C6BBC" w:rsidRDefault="004C6BBC" w:rsidP="00F72078">
      <w:pPr>
        <w:spacing w:after="0" w:line="240" w:lineRule="auto"/>
      </w:pPr>
      <w:r>
        <w:continuationSeparator/>
      </w:r>
    </w:p>
  </w:footnote>
  <w:footnote w:id="1">
    <w:p w14:paraId="71A5B1B8" w14:textId="62CDF278" w:rsidR="00491ACC" w:rsidRPr="002F38C4" w:rsidRDefault="00491ACC">
      <w:pPr>
        <w:pStyle w:val="FootnoteText"/>
        <w:rPr>
          <w:lang w:val="fr-CA"/>
        </w:rPr>
      </w:pPr>
      <w:r w:rsidRPr="002F38C4">
        <w:rPr>
          <w:rStyle w:val="FootnoteReference"/>
          <w:lang w:val="fr-CA"/>
        </w:rPr>
        <w:footnoteRef/>
      </w:r>
      <w:r w:rsidRPr="002F38C4">
        <w:rPr>
          <w:lang w:val="fr-CA"/>
        </w:rPr>
        <w:t xml:space="preserve"> </w:t>
      </w:r>
      <w:r w:rsidR="002F38C4">
        <w:rPr>
          <w:lang w:val="fr-CA"/>
        </w:rPr>
        <w:t xml:space="preserve">La requête a été plaidée devant le comité d’audition composé de l’honorable juge </w:t>
      </w:r>
      <w:r w:rsidRPr="002F38C4">
        <w:rPr>
          <w:lang w:val="fr-CA"/>
        </w:rPr>
        <w:t xml:space="preserve">Martin Lambert, </w:t>
      </w:r>
      <w:r w:rsidR="002F38C4">
        <w:rPr>
          <w:lang w:val="fr-CA"/>
        </w:rPr>
        <w:t>de la juge de paix K</w:t>
      </w:r>
      <w:r w:rsidRPr="002F38C4">
        <w:rPr>
          <w:lang w:val="fr-CA"/>
        </w:rPr>
        <w:t xml:space="preserve">ristine Diaz </w:t>
      </w:r>
      <w:r w:rsidR="002F38C4">
        <w:rPr>
          <w:lang w:val="fr-CA"/>
        </w:rPr>
        <w:t>et du D</w:t>
      </w:r>
      <w:r w:rsidRPr="002F38C4">
        <w:rPr>
          <w:lang w:val="fr-CA"/>
        </w:rPr>
        <w:t xml:space="preserve">r Michael Phillips. </w:t>
      </w:r>
      <w:r w:rsidR="002F38C4">
        <w:rPr>
          <w:lang w:val="fr-CA"/>
        </w:rPr>
        <w:t xml:space="preserve">Par la suite, le </w:t>
      </w:r>
      <w:r w:rsidRPr="002F38C4">
        <w:rPr>
          <w:lang w:val="fr-CA"/>
        </w:rPr>
        <w:t xml:space="preserve">Dr Phillips </w:t>
      </w:r>
      <w:r w:rsidR="002F38C4">
        <w:rPr>
          <w:lang w:val="fr-CA"/>
        </w:rPr>
        <w:t xml:space="preserve">n’a pas pu continuer à siéger au comité d’audition et il a été remplacé par Mme </w:t>
      </w:r>
      <w:r w:rsidRPr="002F38C4">
        <w:rPr>
          <w:lang w:val="fr-CA"/>
        </w:rPr>
        <w:t>Leonore Foster</w:t>
      </w:r>
      <w:r w:rsidR="002F38C4">
        <w:rPr>
          <w:lang w:val="fr-CA"/>
        </w:rPr>
        <w:t>, membre du public</w:t>
      </w:r>
      <w:r w:rsidRPr="002F38C4">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47FF" w14:textId="77777777" w:rsidR="008C5785" w:rsidRDefault="008C57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069C4" w14:textId="77777777" w:rsidR="008C5785" w:rsidRDefault="008C5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9568" w14:textId="77777777" w:rsidR="008C5785" w:rsidRDefault="008C5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16F"/>
    <w:multiLevelType w:val="hybridMultilevel"/>
    <w:tmpl w:val="7F44E068"/>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950E3"/>
    <w:multiLevelType w:val="hybridMultilevel"/>
    <w:tmpl w:val="9086E07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E689E"/>
    <w:multiLevelType w:val="hybridMultilevel"/>
    <w:tmpl w:val="DCB47AE8"/>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3B552B"/>
    <w:multiLevelType w:val="hybridMultilevel"/>
    <w:tmpl w:val="2860576E"/>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3945E6"/>
    <w:multiLevelType w:val="hybridMultilevel"/>
    <w:tmpl w:val="51966E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A26370C"/>
    <w:multiLevelType w:val="hybridMultilevel"/>
    <w:tmpl w:val="EC70340E"/>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E025F2"/>
    <w:multiLevelType w:val="hybridMultilevel"/>
    <w:tmpl w:val="92F89E8C"/>
    <w:lvl w:ilvl="0" w:tplc="10090011">
      <w:start w:val="1"/>
      <w:numFmt w:val="decimal"/>
      <w:lvlText w:val="%1)"/>
      <w:lvlJc w:val="left"/>
      <w:pPr>
        <w:ind w:left="1800" w:hanging="360"/>
      </w:pPr>
      <w:rPr>
        <w:rFonts w:cs="Times New Roman"/>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7" w15:restartNumberingAfterBreak="0">
    <w:nsid w:val="58225786"/>
    <w:multiLevelType w:val="hybridMultilevel"/>
    <w:tmpl w:val="D8AA731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2035A66"/>
    <w:multiLevelType w:val="hybridMultilevel"/>
    <w:tmpl w:val="8E4A12FE"/>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374A28"/>
    <w:multiLevelType w:val="hybridMultilevel"/>
    <w:tmpl w:val="56D0C7B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B9A4875"/>
    <w:multiLevelType w:val="hybridMultilevel"/>
    <w:tmpl w:val="0598D86E"/>
    <w:lvl w:ilvl="0" w:tplc="910A91EE">
      <w:start w:val="1"/>
      <w:numFmt w:val="decimal"/>
      <w:lvlText w:val="[%1]"/>
      <w:lvlJc w:val="left"/>
      <w:pPr>
        <w:ind w:left="1520" w:hanging="360"/>
      </w:pPr>
      <w:rPr>
        <w:rFonts w:hint="default"/>
      </w:rPr>
    </w:lvl>
    <w:lvl w:ilvl="1" w:tplc="10090019" w:tentative="1">
      <w:start w:val="1"/>
      <w:numFmt w:val="lowerLetter"/>
      <w:lvlText w:val="%2."/>
      <w:lvlJc w:val="left"/>
      <w:pPr>
        <w:ind w:left="2240" w:hanging="360"/>
      </w:pPr>
    </w:lvl>
    <w:lvl w:ilvl="2" w:tplc="1009001B" w:tentative="1">
      <w:start w:val="1"/>
      <w:numFmt w:val="lowerRoman"/>
      <w:lvlText w:val="%3."/>
      <w:lvlJc w:val="right"/>
      <w:pPr>
        <w:ind w:left="2960" w:hanging="180"/>
      </w:pPr>
    </w:lvl>
    <w:lvl w:ilvl="3" w:tplc="1009000F" w:tentative="1">
      <w:start w:val="1"/>
      <w:numFmt w:val="decimal"/>
      <w:lvlText w:val="%4."/>
      <w:lvlJc w:val="left"/>
      <w:pPr>
        <w:ind w:left="3680" w:hanging="360"/>
      </w:pPr>
    </w:lvl>
    <w:lvl w:ilvl="4" w:tplc="10090019" w:tentative="1">
      <w:start w:val="1"/>
      <w:numFmt w:val="lowerLetter"/>
      <w:lvlText w:val="%5."/>
      <w:lvlJc w:val="left"/>
      <w:pPr>
        <w:ind w:left="4400" w:hanging="360"/>
      </w:pPr>
    </w:lvl>
    <w:lvl w:ilvl="5" w:tplc="1009001B" w:tentative="1">
      <w:start w:val="1"/>
      <w:numFmt w:val="lowerRoman"/>
      <w:lvlText w:val="%6."/>
      <w:lvlJc w:val="right"/>
      <w:pPr>
        <w:ind w:left="5120" w:hanging="180"/>
      </w:pPr>
    </w:lvl>
    <w:lvl w:ilvl="6" w:tplc="1009000F" w:tentative="1">
      <w:start w:val="1"/>
      <w:numFmt w:val="decimal"/>
      <w:lvlText w:val="%7."/>
      <w:lvlJc w:val="left"/>
      <w:pPr>
        <w:ind w:left="5840" w:hanging="360"/>
      </w:pPr>
    </w:lvl>
    <w:lvl w:ilvl="7" w:tplc="10090019" w:tentative="1">
      <w:start w:val="1"/>
      <w:numFmt w:val="lowerLetter"/>
      <w:lvlText w:val="%8."/>
      <w:lvlJc w:val="left"/>
      <w:pPr>
        <w:ind w:left="6560" w:hanging="360"/>
      </w:pPr>
    </w:lvl>
    <w:lvl w:ilvl="8" w:tplc="1009001B" w:tentative="1">
      <w:start w:val="1"/>
      <w:numFmt w:val="lowerRoman"/>
      <w:lvlText w:val="%9."/>
      <w:lvlJc w:val="right"/>
      <w:pPr>
        <w:ind w:left="7280" w:hanging="180"/>
      </w:pPr>
    </w:lvl>
  </w:abstractNum>
  <w:abstractNum w:abstractNumId="11" w15:restartNumberingAfterBreak="0">
    <w:nsid w:val="7F955387"/>
    <w:multiLevelType w:val="hybridMultilevel"/>
    <w:tmpl w:val="6C10FB9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E00F99"/>
    <w:multiLevelType w:val="hybridMultilevel"/>
    <w:tmpl w:val="725EF3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2"/>
  </w:num>
  <w:num w:numId="5">
    <w:abstractNumId w:val="3"/>
  </w:num>
  <w:num w:numId="6">
    <w:abstractNumId w:val="9"/>
  </w:num>
  <w:num w:numId="7">
    <w:abstractNumId w:val="7"/>
  </w:num>
  <w:num w:numId="8">
    <w:abstractNumId w:val="5"/>
  </w:num>
  <w:num w:numId="9">
    <w:abstractNumId w:val="10"/>
  </w:num>
  <w:num w:numId="10">
    <w:abstractNumId w:val="1"/>
  </w:num>
  <w:num w:numId="11">
    <w:abstractNumId w:val="8"/>
  </w:num>
  <w:num w:numId="12">
    <w:abstractNumId w:val="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33F9A"/>
    <w:rsid w:val="00062282"/>
    <w:rsid w:val="00062612"/>
    <w:rsid w:val="00070B21"/>
    <w:rsid w:val="00072330"/>
    <w:rsid w:val="000A0119"/>
    <w:rsid w:val="000B12FC"/>
    <w:rsid w:val="000B5FFA"/>
    <w:rsid w:val="000E16BA"/>
    <w:rsid w:val="000E298C"/>
    <w:rsid w:val="00121544"/>
    <w:rsid w:val="001244CC"/>
    <w:rsid w:val="00144AD7"/>
    <w:rsid w:val="001726B6"/>
    <w:rsid w:val="00182421"/>
    <w:rsid w:val="001C37B4"/>
    <w:rsid w:val="001F129E"/>
    <w:rsid w:val="00205ABE"/>
    <w:rsid w:val="00225BE4"/>
    <w:rsid w:val="002307B2"/>
    <w:rsid w:val="0023148F"/>
    <w:rsid w:val="0023225F"/>
    <w:rsid w:val="00244466"/>
    <w:rsid w:val="00254259"/>
    <w:rsid w:val="00263F8D"/>
    <w:rsid w:val="0028190E"/>
    <w:rsid w:val="002922B8"/>
    <w:rsid w:val="00292F9B"/>
    <w:rsid w:val="00295752"/>
    <w:rsid w:val="00296A4B"/>
    <w:rsid w:val="002A29FF"/>
    <w:rsid w:val="002B2E66"/>
    <w:rsid w:val="002B4085"/>
    <w:rsid w:val="002D08C5"/>
    <w:rsid w:val="002E6FD5"/>
    <w:rsid w:val="002E6FF6"/>
    <w:rsid w:val="002F38C4"/>
    <w:rsid w:val="00317F1F"/>
    <w:rsid w:val="0036413B"/>
    <w:rsid w:val="003664A3"/>
    <w:rsid w:val="003669B6"/>
    <w:rsid w:val="00366A95"/>
    <w:rsid w:val="003867AA"/>
    <w:rsid w:val="003959D1"/>
    <w:rsid w:val="00404C1A"/>
    <w:rsid w:val="00414C62"/>
    <w:rsid w:val="00425A98"/>
    <w:rsid w:val="004271D6"/>
    <w:rsid w:val="00455FF3"/>
    <w:rsid w:val="00480BA1"/>
    <w:rsid w:val="00487378"/>
    <w:rsid w:val="00491837"/>
    <w:rsid w:val="00491ACC"/>
    <w:rsid w:val="004A2238"/>
    <w:rsid w:val="004A392D"/>
    <w:rsid w:val="004B347D"/>
    <w:rsid w:val="004B69F7"/>
    <w:rsid w:val="004C51CD"/>
    <w:rsid w:val="004C6BBC"/>
    <w:rsid w:val="004D4C5D"/>
    <w:rsid w:val="004F1B03"/>
    <w:rsid w:val="004F20C3"/>
    <w:rsid w:val="005276AB"/>
    <w:rsid w:val="00531BE8"/>
    <w:rsid w:val="00536991"/>
    <w:rsid w:val="00536BDE"/>
    <w:rsid w:val="00562F05"/>
    <w:rsid w:val="0057735C"/>
    <w:rsid w:val="005A3778"/>
    <w:rsid w:val="005B5D99"/>
    <w:rsid w:val="005C5FA3"/>
    <w:rsid w:val="005D01E9"/>
    <w:rsid w:val="005F0A08"/>
    <w:rsid w:val="005F158E"/>
    <w:rsid w:val="006021EF"/>
    <w:rsid w:val="0060412D"/>
    <w:rsid w:val="006123A9"/>
    <w:rsid w:val="006155A0"/>
    <w:rsid w:val="00617759"/>
    <w:rsid w:val="00624B02"/>
    <w:rsid w:val="006606A4"/>
    <w:rsid w:val="006653D6"/>
    <w:rsid w:val="006723F9"/>
    <w:rsid w:val="00695E04"/>
    <w:rsid w:val="006A56D7"/>
    <w:rsid w:val="006B354E"/>
    <w:rsid w:val="006B37A0"/>
    <w:rsid w:val="006C7751"/>
    <w:rsid w:val="006D20DA"/>
    <w:rsid w:val="006D72AA"/>
    <w:rsid w:val="006F20ED"/>
    <w:rsid w:val="006F43EA"/>
    <w:rsid w:val="006F5E3F"/>
    <w:rsid w:val="007046CA"/>
    <w:rsid w:val="007054EB"/>
    <w:rsid w:val="007061DF"/>
    <w:rsid w:val="007132B1"/>
    <w:rsid w:val="007325CD"/>
    <w:rsid w:val="00744CF7"/>
    <w:rsid w:val="0075516C"/>
    <w:rsid w:val="00767151"/>
    <w:rsid w:val="007707B1"/>
    <w:rsid w:val="00783654"/>
    <w:rsid w:val="00794C32"/>
    <w:rsid w:val="00797AE2"/>
    <w:rsid w:val="007C3A83"/>
    <w:rsid w:val="007D6DDD"/>
    <w:rsid w:val="007E03D2"/>
    <w:rsid w:val="007F3100"/>
    <w:rsid w:val="0080223F"/>
    <w:rsid w:val="008047C2"/>
    <w:rsid w:val="00812AC6"/>
    <w:rsid w:val="00834BCF"/>
    <w:rsid w:val="00843ECC"/>
    <w:rsid w:val="008774F7"/>
    <w:rsid w:val="00885C14"/>
    <w:rsid w:val="008910D6"/>
    <w:rsid w:val="008A4E8A"/>
    <w:rsid w:val="008B6651"/>
    <w:rsid w:val="008C5785"/>
    <w:rsid w:val="008D21CA"/>
    <w:rsid w:val="008D72BC"/>
    <w:rsid w:val="00901039"/>
    <w:rsid w:val="00924BDD"/>
    <w:rsid w:val="00970E57"/>
    <w:rsid w:val="009809CD"/>
    <w:rsid w:val="009810D3"/>
    <w:rsid w:val="009B1D63"/>
    <w:rsid w:val="009B65DE"/>
    <w:rsid w:val="009D1450"/>
    <w:rsid w:val="009D20FD"/>
    <w:rsid w:val="00A22FC6"/>
    <w:rsid w:val="00A32034"/>
    <w:rsid w:val="00A37409"/>
    <w:rsid w:val="00A426B6"/>
    <w:rsid w:val="00A4736E"/>
    <w:rsid w:val="00A67BA3"/>
    <w:rsid w:val="00A80C28"/>
    <w:rsid w:val="00A81D58"/>
    <w:rsid w:val="00A84AD4"/>
    <w:rsid w:val="00A90F8A"/>
    <w:rsid w:val="00A963FC"/>
    <w:rsid w:val="00AA25F5"/>
    <w:rsid w:val="00AB2B2B"/>
    <w:rsid w:val="00AD71CE"/>
    <w:rsid w:val="00B475BA"/>
    <w:rsid w:val="00B74F8E"/>
    <w:rsid w:val="00B87BA9"/>
    <w:rsid w:val="00B93223"/>
    <w:rsid w:val="00BA71FA"/>
    <w:rsid w:val="00BB729C"/>
    <w:rsid w:val="00BC5022"/>
    <w:rsid w:val="00C029AC"/>
    <w:rsid w:val="00C064F0"/>
    <w:rsid w:val="00C0778F"/>
    <w:rsid w:val="00C15259"/>
    <w:rsid w:val="00C31DCC"/>
    <w:rsid w:val="00C32E5F"/>
    <w:rsid w:val="00C442F5"/>
    <w:rsid w:val="00C75E04"/>
    <w:rsid w:val="00C93AB7"/>
    <w:rsid w:val="00CA22C3"/>
    <w:rsid w:val="00CA71CD"/>
    <w:rsid w:val="00CC034D"/>
    <w:rsid w:val="00CE09EA"/>
    <w:rsid w:val="00CE370A"/>
    <w:rsid w:val="00CF414E"/>
    <w:rsid w:val="00D175B4"/>
    <w:rsid w:val="00D55866"/>
    <w:rsid w:val="00D7310B"/>
    <w:rsid w:val="00D7603A"/>
    <w:rsid w:val="00D83F89"/>
    <w:rsid w:val="00D87699"/>
    <w:rsid w:val="00DA7427"/>
    <w:rsid w:val="00DB2030"/>
    <w:rsid w:val="00DC78B6"/>
    <w:rsid w:val="00DF49FB"/>
    <w:rsid w:val="00E20390"/>
    <w:rsid w:val="00E22630"/>
    <w:rsid w:val="00E32F5C"/>
    <w:rsid w:val="00E346DE"/>
    <w:rsid w:val="00E57B20"/>
    <w:rsid w:val="00E71A3B"/>
    <w:rsid w:val="00E73229"/>
    <w:rsid w:val="00E77E68"/>
    <w:rsid w:val="00EE645A"/>
    <w:rsid w:val="00EF434A"/>
    <w:rsid w:val="00F128BE"/>
    <w:rsid w:val="00F17B57"/>
    <w:rsid w:val="00F37F46"/>
    <w:rsid w:val="00F45157"/>
    <w:rsid w:val="00F5036F"/>
    <w:rsid w:val="00F52B1D"/>
    <w:rsid w:val="00F55627"/>
    <w:rsid w:val="00F569CF"/>
    <w:rsid w:val="00F61F85"/>
    <w:rsid w:val="00F6220A"/>
    <w:rsid w:val="00F72078"/>
    <w:rsid w:val="00F832F3"/>
    <w:rsid w:val="00F85186"/>
    <w:rsid w:val="00FA62DB"/>
    <w:rsid w:val="00FB11EB"/>
    <w:rsid w:val="00FE363E"/>
    <w:rsid w:val="00FF037A"/>
    <w:rsid w:val="00FF3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1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paragraph" w:styleId="FootnoteText">
    <w:name w:val="footnote text"/>
    <w:basedOn w:val="Normal"/>
    <w:link w:val="FootnoteTextChar"/>
    <w:uiPriority w:val="99"/>
    <w:semiHidden/>
    <w:unhideWhenUsed/>
    <w:rsid w:val="0049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ACC"/>
    <w:rPr>
      <w:sz w:val="20"/>
      <w:szCs w:val="20"/>
    </w:rPr>
  </w:style>
  <w:style w:type="character" w:styleId="FootnoteReference">
    <w:name w:val="footnote reference"/>
    <w:basedOn w:val="DefaultParagraphFont"/>
    <w:uiPriority w:val="99"/>
    <w:semiHidden/>
    <w:unhideWhenUsed/>
    <w:rsid w:val="00491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6159A-8597-41EF-AF9D-0AF32449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11870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DANS L’AFFAIRE D’UNE AUDIENCE EN VERTU DE L'ARTICLE 11.1 DE LA LOI SUR LES JUGES DE PAIX, L.R.O. 1990, ch. J.4, DANS SA VERSION MODIFIÉE</vt:lpstr>
    </vt:vector>
  </TitlesOfParts>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 L’AFFAIRE D’UNE AUDIENCE EN VERTU DE L'ARTICLE 11.1 DE LA LOI SUR LES JUGES DE PAIX, L.R.O. 1990, ch. J.4, DANS SA VERSION MODIFIÉE</dc:title>
  <dc:creator/>
  <cp:lastModifiedBy/>
  <cp:revision>1</cp:revision>
  <dcterms:created xsi:type="dcterms:W3CDTF">2019-12-16T15:07:00Z</dcterms:created>
  <dcterms:modified xsi:type="dcterms:W3CDTF">2019-12-16T15:07:00Z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2019-11-25T20:47:46.9003026Z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b944ed22-8152-43b2-afeb-05362930803c</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